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Kicker"/>
      </w:pPr>
      <w:r>
        <w:t>ALESSANDROSANNINI.NET  /  DOSSIER DI ANALISI</w:t>
      </w:r>
    </w:p>
    <w:p>
      <w:pPr>
        <w:pStyle w:val="Title"/>
      </w:pPr>
      <w:r>
        <w:t>VENTURE IMPACT</w:t>
        <w:br/>
        <w:t>&amp; PHILANTHROPY</w:t>
      </w:r>
    </w:p>
    <w:p>
      <w:pPr>
        <w:pStyle w:val="Deck"/>
      </w:pPr>
      <w:r>
        <w:t>Il capitale che promette di cambiare il mondo deve dimostrare di aver cambiato qualcosa.</w:t>
      </w:r>
    </w:p>
    <w:p>
      <w:pPr>
        <w:pStyle w:val="Deck"/>
      </w:pPr>
      <w:r>
        <w:t>Impatto dell’investitore, grant catalitici, blended finance, private equity, governance e Space Economy. Un’indagine sulle prove, sui poteri e sulle condizioni che trasformano la finanza in risultati sociali misurabili.</w:t>
      </w:r>
    </w:p>
    <w:p>
      <w:pPr>
        <w:pStyle w:val="Kicker"/>
      </w:pPr>
      <w:r>
        <w:t>DOSSIER INDIPENDENTE  |  Analisi e interpretazioni di Alessandro Sannini  |  Aggiornamento: 16 ottobre 2026</w:t>
      </w:r>
    </w:p>
    <w:p>
      <w:pPr>
        <w:pStyle w:val="Pull"/>
        <w:ind w:left="238" w:right="170"/>
        <w:pBdr>
          <w:left w:val="single" w:sz="18" w:color="9E7035"/>
        </w:pBdr>
      </w:pPr>
      <w:r>
        <w:t>IL PUNTO IN UNA FRASE   Non basta finanziare una buona impresa: occorre spiegare che cosa è cambiato grazie al finanziatore, per chi, a quale costo e rispetto a quale alternativa.</w:t>
      </w:r>
    </w:p>
    <w:p>
      <w:pPr>
        <w:pStyle w:val="Mini"/>
      </w:pPr>
      <w:r>
        <w:t>Natura dell’analisi. Il documento distingue evidenze accademiche, risultati dichiarati da programmi istituzionali, rilevazioni associative e inferenze dell’autore. I casi economico-finanziari ipotetici, quando presenti, servono a isolare meccanismi e condizioni e non costituiscono risultati empirici, progetti avviati né proposte di investimento.</w:t>
      </w:r>
    </w:p>
    <w:p>
      <w:r>
        <w:br w:type="page"/>
      </w:r>
    </w:p>
    <w:p>
      <w:pPr>
        <w:pStyle w:val="Heading1"/>
        <w:keepNext/>
      </w:pPr>
      <w:r>
        <w:t>Indice completo del dossier</w:t>
      </w:r>
    </w:p>
    <w:p>
      <w:pPr>
        <w:pStyle w:val="Deck"/>
      </w:pPr>
      <w:r>
        <w:t>Come nel dossier BROMO, il percorso parte dai fatti, ricostruisce la catena causale, esamina gli incentivi, individua i rischi e termina con ciò che il mercato e le istituzioni devono poter verificare.</w:t>
      </w:r>
    </w:p>
    <w:p>
      <w:pPr>
        <w:spacing w:after="120"/>
      </w:pPr>
      <w:r>
        <w:t>01   Sintesi esecutiva — Cinque conclusioni e le metriche che contano</w:t>
      </w:r>
    </w:p>
    <w:p>
      <w:pPr>
        <w:spacing w:after="120"/>
      </w:pPr>
      <w:r>
        <w:t>02   Perimetro e domanda decisiva — Chi genera l’impatto e chi se ne attribuisce il merito</w:t>
      </w:r>
    </w:p>
    <w:p>
      <w:pPr>
        <w:spacing w:after="120"/>
      </w:pPr>
      <w:r>
        <w:t>03   Capitale e potere — Azioni, credito, stewardship e contributo dell’investitore</w:t>
      </w:r>
    </w:p>
    <w:p>
      <w:pPr>
        <w:spacing w:after="120"/>
      </w:pPr>
      <w:r>
        <w:t>04   Philanthropy e mercato — Grant catalitici, capitale paziente e market shaping</w:t>
      </w:r>
    </w:p>
    <w:p>
      <w:pPr>
        <w:spacing w:after="120"/>
      </w:pPr>
      <w:r>
        <w:t>05   Finanza e valore — Blended finance, PE di controllo, economics dell’addizionalità</w:t>
      </w:r>
    </w:p>
    <w:p>
      <w:pPr>
        <w:spacing w:after="120"/>
      </w:pPr>
      <w:r>
        <w:t>06   Governance e rischi — Dal KPI alla responsabilità; che cosa può andare storto</w:t>
      </w:r>
    </w:p>
    <w:p>
      <w:pPr>
        <w:spacing w:after="120"/>
      </w:pPr>
      <w:r>
        <w:t>07   Space Economy e impatto — Dall’orbita alle decisioni: otto filiere di valore pubblico</w:t>
      </w:r>
    </w:p>
    <w:p>
      <w:pPr>
        <w:spacing w:after="120"/>
      </w:pPr>
      <w:r>
        <w:t>08   Europa e Italia — Mercati, beni pubblici, filiere, accesso e capacità istituzionali</w:t>
      </w:r>
    </w:p>
    <w:p>
      <w:pPr>
        <w:spacing w:after="120"/>
      </w:pPr>
      <w:r>
        <w:t>09   Evidenze e verifica — Controfattuali, indicatori, dati, limiti e disclosure</w:t>
      </w:r>
    </w:p>
    <w:p>
      <w:pPr>
        <w:spacing w:after="120"/>
      </w:pPr>
      <w:r>
        <w:t>10   Conclusione e repertorio — Giudizio, glossario e fonti primarie</w:t>
      </w:r>
    </w:p>
    <w:p>
      <w:pPr>
        <w:pStyle w:val="Heading2"/>
        <w:keepNext/>
      </w:pPr>
      <w:r>
        <w:t>Nota al lettore: cosa è prova e cosa è racconto</w:t>
      </w:r>
    </w:p>
    <w:p>
      <w:r>
        <w:t>La forma di un dossier indipendente comporta un obbligo: separare i dati dai desideri. Le cifre sui grant derivano da un questionario di settore con campione limitato; le review scientifiche sintetizzano contributi esistenti, senza attribuire automaticamente causalità. I risultati dei programmi EO descrivono adozione, attività, capacità e in taluni casi finanza influenzata: il beneficio finale per persone e ambiente richiede un’ulteriore prova. [R01–R05, R10]</w:t>
      </w:r>
    </w:p>
    <w:p>
      <w:r>
        <w:br w:type="page"/>
      </w:r>
    </w:p>
    <w:p>
      <w:pPr>
        <w:pStyle w:val="Heading1"/>
        <w:keepNext/>
      </w:pPr>
      <w:r>
        <w:t>01 / SINTESI ESECUTIVA</w:t>
      </w:r>
    </w:p>
    <w:p>
      <w:pPr>
        <w:pStyle w:val="Kicker"/>
        <w:spacing w:after="80"/>
      </w:pPr>
      <w:r>
        <w:t>IL PROBLEMA DIETRO LA BUONA INTENZIONE</w:t>
      </w:r>
    </w:p>
    <w:p>
      <w:r>
        <w:t>Un portafoglio può essere molto verde, un bilancio impeccabilmente colorato e una presentazione piena di parole rassicuranti. Nessuna di queste tre cose dimostra, da sola, che il mondo sia migliorato di un centimetro. La finanza d’impatto comincia dove finisce l’autocompiacimento: quando un investitore deve rendere verificabile il proprio contributo. Il resto è posizionamento, talvolta utile, talvolta persino sincero. Ma non ancora una prova.</w:t>
      </w:r>
    </w:p>
    <w:p>
      <w:r>
        <w:t>Nella Space Economy questa confusione diventa spettacolare. Una costellazione può vedere il pianeta, misurarlo e raccontarlo con una precisione mai conosciuta. Poi, a terra, un’autorità deve leggere il dato, comprenderlo, decidere, spendere e agire. Tra il satellite e una casa protetta da un’alluvione c’è un’intera economia di competenze, procedure e responsabilità. Il dossier sta in mezzo a quella catena.</w:t>
      </w:r>
    </w:p>
    <w:p>
      <w:r>
        <w:t>01  L’impatto dell’impresa non coincide con l’impatto dell’investitore. La review di Busch e coautori censisce 52 contributi e chiede di identificare quale meccanismo finanziario o di governance abbia cambiato il comportamento della società finanziata. [R01]</w:t>
      </w:r>
    </w:p>
    <w:p>
      <w:r>
        <w:t>02  La qualità delle evidenze conta almeno quanto la qualità delle intenzioni. Una mappa consegnata è un output; una decisione resa più tempestiva è un outcome; un danno evitato è un impatto da stimare con ipotesi e limiti espliciti.</w:t>
      </w:r>
    </w:p>
    <w:p>
      <w:r>
        <w:t>03  La filantropia non è un venture capitalist travestito da benefattore. Può finanziare beni pubblici, capacità locali e sperimentazioni che non potranno e non dovranno mai produrre un dividendo monetario.</w:t>
      </w:r>
    </w:p>
    <w:p>
      <w:r>
        <w:t>04  Il grant catalitico ha valore quando scioglie un blocco: organizzativo, informativo, contrattuale o di rischio. Il campione Impact Europe è interessante, ma piccolo e autoselezionato; non rappresenta tutto il mercato europeo. [R03]</w:t>
      </w:r>
    </w:p>
    <w:p>
      <w:r>
        <w:t>05  Il rischio d’impatto comprende benefici mancati, danni imprevisti, fragilità della prova, esposizioni legali e perdita di legittimità: cinque categorie che si alimentano tra loro. [R02]</w:t>
      </w:r>
    </w:p>
    <w:p>
      <w:r>
        <w:t>06  Blended finance significa usare bene una concessionalità scarsa, non regalare rendimento a chi avrebbe investito comunque. L’addizionalità finanziaria deve essere distinta da quella di sviluppo e da quella apportata da competenze. [R08]</w:t>
      </w:r>
    </w:p>
    <w:p>
      <w:r>
        <w:t>07  Il private equity di controllo ha una leva potenzialmente rilevante: cambiare budget, management, prodotto, procurement e disciplina di esecuzione. Proprio per questo ha meno alibi quando l’impatto promesso resta sulla carta.</w:t>
      </w:r>
    </w:p>
    <w:p>
      <w:r>
        <w:t>08  Lo spazio può generare valore pubblico nei servizi ambientali, nella resilienza, nella connettività e nella gestione delle risorse. Ma hardware, dati e vendite non possono essere scambiati con il beneficio finale.</w:t>
      </w:r>
    </w:p>
    <w:p>
      <w:r>
        <w:t>09  I casi ESA–World Bank e Copernicus mostrano infrastrutture e processi reali di utilizzo dei dati; non autorizzano a imputare a ogni servizio dati salvati, emissioni evitate o redditi aggiuntivi non misurati. [R10, R11]</w:t>
      </w:r>
    </w:p>
    <w:p>
      <w:r>
        <w:t>10  Il capitale d’impatto non deve essere giudicato dall’eloquenza di un purpose statement ma dalla sua capacità di reggere alle domande scomode: chi beneficia, chi paga, chi rischia, chi decide, che cosa sarebbe accaduto comunque.</w:t>
      </w:r>
    </w:p>
    <w:p>
      <w:pPr>
        <w:pStyle w:val="Pull"/>
        <w:ind w:left="238" w:right="170"/>
        <w:pBdr>
          <w:left w:val="single" w:sz="18" w:color="9E7035"/>
        </w:pBdr>
      </w:pPr>
      <w:r>
        <w:t>La domanda che attraversa il dossier è una sola: «Senza questo specifico finanziatore, con questa specifica condotta, quali risultati sarebbero mancati?»</w:t>
      </w:r>
    </w:p>
    <w:p>
      <w:pPr>
        <w:pStyle w:val="Heading1"/>
        <w:keepNext/>
      </w:pPr>
      <w:r>
        <w:t>02 / PERIMETRO E DOMANDA DECISIVA</w:t>
      </w:r>
    </w:p>
    <w:p>
      <w:pPr>
        <w:pStyle w:val="Kicker"/>
        <w:spacing w:after="80"/>
      </w:pPr>
      <w:r>
        <w:t>DOVE NASCE L’EQUIVOCO</w:t>
      </w:r>
    </w:p>
    <w:p>
      <w:r>
        <w:t>Immaginiamo una società che produce informazioni affidabili sulle alluvioni. I suoi dati possono essere essenziali, i suoi dipendenti eccellenti, la sua crescita notevole. Un fondo compra il 60% delle quote dal precedente azionista, non mette un euro nuovo nella società e annuncia di avere “finanziato la resilienza climatica”. Ha acquistato un’impresa utile. Non per questo ha già finanziato nuova resilienza.</w:t>
      </w:r>
    </w:p>
    <w:p>
      <w:r>
        <w:t>Il linguaggio finanziario ha una sorprendente capacità di trasformare la contabilità dell’acquisizione in un racconto della creazione. Qui serve disciplina: distinguere ciò che esisteva prima, ciò che arriva dopo e ciò che dipende dal nuovo investitore. Le tre grandezze sono diverse, anche se un pitch le somma con disinvoltura.</w:t>
      </w:r>
    </w:p>
    <w:p>
      <w:pPr>
        <w:pStyle w:val="Heading2"/>
        <w:keepNext/>
      </w:pPr>
      <w:r>
        <w:t>L’impatto non passa per il registro azionisti</w:t>
      </w:r>
    </w:p>
    <w:p>
      <w:r>
        <w:t>Una cooperativa può inserire persone fragili nel lavoro. Una piattaforma satellitare può aiutare a valutare il rischio di alluvioni. Ma se un soggetto compra quote già esistenti senza mettere nuove risorse, senza modificare la governance e senza rendere possibile alcun progresso addizionale, non può attribuirsi automaticamente i risultati dell’impresa. Ha acquistato un’esposizione economica: non necessariamente ha generato un miglioramento sociale.</w:t>
      </w:r>
    </w:p>
    <w:p>
      <w:pPr/>
      <w:r/>
      <w:r>
        <w:t>La review di Busch, Bernard-Rau, Prüßner e Freiling, pubblicata l’11 settembre 2026 su Management Review Quarterly, considera 52 contributi — 33 accademici e 19 di settore — e distingue tre famiglie di meccanismi: allocazione del capitale, engagement o stewardship, e rafforzamento del campo o ecosistema. L’impatto potenziale varia a seconda di ciò che il meccanismo cambia e delle condizioni in cui viene applicato. La letteratura lascia in particolare aperta la valutazione dei benefici indiretti e delle operazioni sul mercato secondario [R01].</w:t>
      </w:r>
    </w:p>
    <w:p>
      <w:r>
        <w:t>La distinzione è cruciale anche nel private equity. Un buyout può essere accompagnato da investimenti industriali, professionalizzazione manageriale, miglioramento degli standard, espansione dei servizi accessibili e misurazione degli effetti. Ma può altresì perseguire sinergie e rendimenti senza introdurre effetti sociali incrementali dimostrabili. La forma societaria o finanziaria non decide la questione: la decide la catena di cambiamento.</w:t>
      </w:r>
    </w:p>
    <w:p>
      <w:r>
        <w:t>L’addizionalità ha almeno tre piani: finanziario, quando risorse o condizioni non sarebbero disponibili altrimenti; non finanziario, quando competenze, reti o diritti di governance consentono un risultato diverso; sistemico, quando si rafforzano regole, infrastrutture o capacità di altri operatori. I tre piani possono coesistere, ma non sono intercambiabili e non vanno sommati come se fossero una misura unica.</w:t>
      </w:r>
    </w:p>
    <w:p>
      <w:pPr>
        <w:pStyle w:val="Heading3"/>
        <w:keepNext/>
      </w:pPr>
      <w:r>
        <w:t>Tre operazioni, stessa impresa, tre pretese differenti</w:t>
      </w:r>
    </w:p>
    <w:p>
      <w:r>
        <w:t>Per qualsiasi operazione si dovrebbero scrivere prima del closing due brevi memorie: “Perché l’impresa può migliorare un risultato sociale?” e “Quale parte di quel miglioramento dipende dalla nostra azione?”. Se la seconda resta vuota, l’investimento può avere senso finanziario, ma la rivendicazione di impatto deve essere limitata.</w:t>
      </w:r>
    </w:p>
    <w:p>
      <w:r>
        <w:t>Impact Frontiers aggiunge un quadro operativo: “What”, “Who”, “How Much”, “Contribution” e “Risk” descrivono la qualità degli effetti dell’impresa; il contributo dell’investitore è una dimensione distinta, da esplorare sulla base di dati e confronto con alternative [6–7].</w:t>
      </w:r>
    </w:p>
    <w:p>
      <w:pPr>
        <w:pStyle w:val="Heading2"/>
        <w:keepNext/>
      </w:pPr>
      <w:r>
        <w:t>La filiera dell’effetto: risorsa, decisione, beneficio</w:t>
      </w:r>
    </w:p>
    <w:p>
      <w:pPr>
        <w:pStyle w:val="Heading3"/>
        <w:keepNext/>
      </w:pPr>
      <w:r>
        <w:t>La catena causale ha più anelli di quanti ne presenti un pitch</w:t>
      </w:r>
    </w:p>
    <w:p>
      <w:r>
        <w:t>Un investimento da solo modifica la disponibilità di risorse; la disponibilità di risorse modifica le attività soltanto se esistono capacità manageriali, incentivi, dati e una domanda reale. Le attività generano output, come un modello di previsione o il numero di comuni formati. Gli output non hanno valore sociale autonomo se non vengono adottati. L’adozione influenza decisioni e pratiche; queste, a loro volta, possono incidere su sicurezza, redditi, accesso ai servizi o qualità ambientale. Le condizioni esterne — clima, legislazione, capacità della pubblica amministrazione, alternative concorrenti — possono interrompere o rafforzare qualunque passaggio.</w:t>
      </w:r>
    </w:p>
    <w:p>
      <w:r>
        <w:t>In un progetto di allertamento delle piene, per esempio, disporre di una mappa entro sei ore è un output. Usarla nel protocollo di emergenza è un risultato intermedio. Anticipare effettivamente la chiusura di un ponte, proteggere infrastrutture o ridurre l’esposizione di persone vulnerabili sono outcome e impatti progressivamente più lontani dall’intervento tecnologico. Nessuna riduzione di danni può essere attribuita automaticamente al modello senza ragionare su intensità dell’evento, misure preesistenti e comportamento delle autorità.</w:t>
      </w:r>
    </w:p>
    <w:p>
      <w:pPr>
        <w:pStyle w:val="Heading3"/>
        <w:keepNext/>
      </w:pPr>
      <w:r>
        <w:t>Cinque assunzioni che devono poter essere falsificate</w:t>
      </w:r>
    </w:p>
    <w:p>
      <w:r>
        <w:t>•  L’utente finale dispone di incentivi e competenze per utilizzare il servizio; non basta avergli concesso una licenza.</w:t>
      </w:r>
    </w:p>
    <w:p>
      <w:r>
        <w:t>•  Le prestazioni tecniche sono sufficienti per la decisione specifica, comprese affidabilità, tempestività e spiegabilità.</w:t>
      </w:r>
    </w:p>
    <w:p>
      <w:r>
        <w:t>•  La decisione modificata incide su un outcome importante per una popolazione o un ecosistema identificabile.</w:t>
      </w:r>
    </w:p>
    <w:p>
      <w:r>
        <w:t>•  Esiste una fonte di pagamento o manutenzione che tiene in vita il servizio dopo il pilota.</w:t>
      </w:r>
    </w:p>
    <w:p>
      <w:r>
        <w:t>•  L’intervento non genera danni compensativi o esclusione di soggetti con minori capacità amministrative.</w:t>
      </w:r>
    </w:p>
    <w:p>
      <w:r>
        <w:t>Una teoria del cambiamento è utile soltanto se la documentazione definisce soglie di fallimento. Esempio: dopo dodici mesi, meno di tre enti sugli otto previsti usano i dati in atti formalizzati; il progetto non passa automaticamente alla fase successiva. Il comitato deve chiedere se la difficoltà sia dovuta al prodotto, all’integrazione organizzativa o a una domanda che non esiste. Il “no-go” è parte del metodo, non un incidente da nascondere.</w:t>
      </w:r>
    </w:p>
    <w:p>
      <w:r>
        <w:t>La stessa operazione può avere tre letture concorrenti. Quella finanziaria chiede quale rischio sia remunerato e con quale rendimento; quella industriale chiede chi governa la tecnologia, la capacità produttiva e il cliente; quella sociale chiede chi riceve un beneficio che altrimenti non avrebbe avuto. Se una delle tre manca, il risultato è una fotografia sfuocata. Se mancano tutte, resta soltanto il titolo della slide.</w:t>
      </w:r>
    </w:p>
    <w:p>
      <w:pPr>
        <w:pStyle w:val="Heading2"/>
        <w:keepNext/>
      </w:pPr>
      <w:r>
        <w:t>Le quattro ricerche che riordinano il dibattito</w:t>
      </w:r>
    </w:p>
    <w:p>
      <w:pPr>
        <w:pStyle w:val="Heading2"/>
        <w:keepNext/>
      </w:pPr>
      <w:r>
        <w:t>Il problema dell’attribuzione: chi ha il diritto di dire «grazie a me»?</w:t>
      </w:r>
    </w:p>
    <w:p>
      <w:r>
        <w:t>Nel lessico del capitale, il successo di un portafoglio è normalmente attribuito al gestore: ha selezionato l'asset, negoziato il prezzo, organizzato il finanziamento e guidato le scelte decisive. Nell'impatto la questione è meno comoda. Un territorio può aver iniziato a ridurre il rischio idraulico prima dell'arrivo dell'investitore; la tecnologia può derivare da un programma pubblico; l'autorità locale può avere adottato nuove procedure per ragioni normative. Rivendicare tutto il risultato significherebbe intestarsi il lavoro di tutti gli altri.</w:t>
      </w:r>
    </w:p>
    <w:p>
      <w:r>
        <w:t>Occorre quindi scomporre il merito in tre proposizioni. La prima è descrittiva: la società o il progetto ha prodotto un risultato osservabile. La seconda è comparativa: quel risultato migliora, e di quanto, rispetto a una situazione ragionevole senza intervento. La terza è contributiva: una parte dell'eventuale differenza dipende da un'azione identificabile di questo specifico finanziatore. È soltanto dopo il terzo passaggio che la formula «impatto dell'investitore» smette di essere un attributo commerciale.</w:t>
      </w:r>
    </w:p>
    <w:p>
      <w:r>
        <w:t>Questo non impone l'impossibile prova di una causalità perfetta in ogni decisione. Impone il dovere molto più modesto, e molto più raro, di descrivere i meccanismi, raccogliere evidenze proporzionate e formulare conclusioni all'altezza di quelle evidenze. Un investimento che accelera una decisione pubblica di due anni non deve inventare un pianeta salvato: può documentare tempi ridotti, adozioni anticipate, capacità organizzativa acquisita e limiti delle stime.</w:t>
      </w:r>
    </w:p>
    <w:p>
      <w:r>
        <w:t>Esiste inoltre un problema di distribuzione del merito. Fondazioni, amministrazioni, università, operatori, banche e beneficiari possono essere co-produttori dello stesso risultato. Una governance credibile li riconosce come parti della catena. È un modo meno eroico di raccontare la finanza; proprio per questo è molto più interessante.</w:t>
      </w:r>
    </w:p>
    <w:p>
      <w:pPr>
        <w:pStyle w:val="Heading3"/>
        <w:keepNext/>
      </w:pPr>
      <w:r>
        <w:t>Quando l’investitore genera davvero impatto — Busch e coautori</w:t>
      </w:r>
    </w:p>
    <w:p>
      <w:pPr/>
      <w:r/>
      <w:r>
        <w:t>Il merito della prima lettura non è vendere una ricetta, ma chiarire il problema causale. Esistono azioni degli investitori con un potenziale diretto e altre il cui effetto passa attraverso segnali, regole o dinamiche di mercato. Il diritto di voto di un azionista influente non equivale a quello di un investitore marginale; l’aumento di capitale di un’impresa in difficoltà non equivale all’acquisto sul secondario del titolo di un’impresa che si finanzierebbe ugualmente. L’analisi non fornisce un ranking valido in ogni circostanza [R01].</w:t>
      </w:r>
    </w:p>
    <w:p>
      <w:r>
        <w:t>Lettura critica. La review è una sintesi concettuale che integra lavori accademici e materiali di settore: utile a progettare ipotesi di impatto, non sufficiente a certificare le prestazioni di una singola categoria di asset.</w:t>
      </w:r>
    </w:p>
    <w:p>
      <w:pPr>
        <w:pStyle w:val="Heading3"/>
        <w:keepNext/>
      </w:pPr>
      <w:r>
        <w:t>Il rischio è un sistema — Islam e Cui</w:t>
      </w:r>
    </w:p>
    <w:p>
      <w:pPr/>
      <w:r/>
      <w:r>
        <w:t>La revisione sistematica di 56 articoli del periodo 2011–2025, pubblicata per la prima volta il 24 agosto 2026 su Business Strategy and the Environment, riconosce cinque dimensioni interdipendenti dell’impact risk. Il rischio non riguarda soltanto il mancato raggiungimento di target positivi: un programma può ottenere KPI ottimali e contemporaneamente escludere persone difficili da assistere, nascondere esternalità o produrre promesse indifendibili [R02].</w:t>
      </w:r>
    </w:p>
    <w:p>
      <w:r>
        <w:t>Lettura critica. Il contributo classifica i rischi e i loro legami, non quantifica la probabilità di ciascun evento né calcola perdite monetarie attese. È una mappa per la governance, non un modello attuariale.</w:t>
      </w:r>
    </w:p>
    <w:p>
      <w:pPr>
        <w:pStyle w:val="Heading3"/>
        <w:keepNext/>
      </w:pPr>
      <w:r>
        <w:t>Il grant che apre la fase successiva — Impact Europe</w:t>
      </w:r>
    </w:p>
    <w:p>
      <w:pPr/>
      <w:r/>
      <w:r>
        <w:t>L’indagine Catalytic Grant-making in Europe, presentata il 15 ottobre 2026, ha invitato 350 soggetti, raccolto 27 risposte e individuato 20 organizzazioni che dichiarano grant coerenti con la definizione utilizzata. Per il 2024 esse segnalano complessivamente 432 milioni di euro erogati. Il punto innovativo è l’attenzione alla fase in cui manca ancora un soggetto disposto a pagare per ricerca applicata, sviluppo manageriale, prova sul campo e preparazione a un finanziamento sostenibile [R03].</w:t>
      </w:r>
    </w:p>
    <w:p>
      <w:r>
        <w:t>Lettura critica. I 432 milioni non rappresentano l’intero mercato europeo: campione piccolo e autoselezionato, dati dichiarati, nessuna inferenza causale. Il soggetto promotore è un’associazione di settore. La pagina ufficiale è stata verificata; il dato resta attribuito ai partecipanti.</w:t>
      </w:r>
    </w:p>
    <w:p>
      <w:pPr>
        <w:pStyle w:val="Heading3"/>
        <w:keepNext/>
      </w:pPr>
      <w:r>
        <w:t>Sbloccare mercati, non collezionare progetti — WEF–GAEA</w:t>
      </w:r>
    </w:p>
    <w:p>
      <w:pPr/>
      <w:r/>
      <w:r>
        <w:t>Il white paper del World Economic Forum e di GAEA, datato 20 agosto 2026, discute 11 casi nei sistemi oceanici, forestali ed energetici. Propone di vedere fondazioni, filantropi, family office e investitori d’impatto come soggetti che possono combinare capitale, reti, pazienza e capacità di influenza per cambiare le condizioni di mercato [R04].</w:t>
      </w:r>
    </w:p>
    <w:p>
      <w:r>
        <w:t>Lettura critica. Il rapporto è orientato alla proposta e presenta casi selezionati; non costituisce una valutazione controfattuale indipendente delle iniziative. La lezione utile è trasformare il livello di analisi, dal progetto individuale alle regole e infrastrutture che possono consentire a molti progetti di durare.</w:t>
      </w:r>
    </w:p>
    <w:p>
      <w:r>
        <w:t>Le fonti non sono intercambiabili. Una review peer reviewed individua categorie e limiti della letteratura; una rassegna sistematica dei rischi organizza fattori e governance; un’indagine associativa fotografa un campione non rappresentativo; un white paper internazionale racconta strategie e casi applicativi. Sommarli in un’unica “prova” significherebbe confondere bibliografia e tribunale. [R01–R04]</w:t>
      </w:r>
    </w:p>
    <w:p>
      <w:pPr>
        <w:pStyle w:val="Heading1"/>
        <w:keepNext/>
      </w:pPr>
      <w:r>
        <w:t>03 / CAPITALE E POTERE</w:t>
      </w:r>
    </w:p>
    <w:p>
      <w:pPr>
        <w:pStyle w:val="Kicker"/>
        <w:spacing w:after="80"/>
      </w:pPr>
      <w:r>
        <w:t>LA VERA LEVA NON È IL LOGO NEL DECK</w:t>
      </w:r>
    </w:p>
    <w:p>
      <w:r>
        <w:t>Se il capitale vuole rivendicare una differenza, deve avere un meccanismo. Non basta esistere nel cap table. Deve cambiare la disponibilità di risorse, il loro costo, la loro destinazione, il modo in cui l’impresa prende decisioni o le regole del mercato in cui opera. Questa distinzione appare tecnica. In realtà è il confine tra investimento e racconto pubblicitario.</w:t>
      </w:r>
    </w:p>
    <w:p>
      <w:pPr>
        <w:pStyle w:val="Heading2"/>
        <w:keepNext/>
      </w:pPr>
      <w:r>
        <w:t>Emissione primaria, compravendita secondaria, supporto manageriale</w:t>
      </w:r>
    </w:p>
    <w:p>
      <w:r>
        <w:t>Un aumento di capitale sottoscritto per finanziare un prodotto indispensabile ma altrimenti irrealizzabile può avere un contributo finanziario diretto. L’acquisto di azioni già emesse trasferisce proprietà e liquidità al venditore; può influenzare indirettamente costo del capitale, segnali e governance, ma l’effetto non si presume. Un finanziamento accompagnato da gestione operativa, accesso a clienti e trasferimento di competenze può produrre un canale di impatto distinto dal prezzo del denaro. La review di Busch e coautori distingue capital allocation, engagement/stewardship e field building; il potenziale dipende dalle condizioni di applicazione. [R01]</w:t>
      </w:r>
    </w:p>
    <w:p>
      <w:r>
        <w:t>Nel private equity il punto è ancora più netto. Un socio di controllo possiede poteri formali sui bilanci e sulle nomine. Se pretende di trasformare questi poteri in addizionalità, deve registrare prima i cambiamenti attesi e poi dimostrare che le decisioni sono state prese. Se invece il conto economico cresce soltanto per acquisizioni, il valore economico è reale ma il giudizio di impatto resta separato.</w:t>
      </w:r>
    </w:p>
    <w:p>
      <w:pPr>
        <w:pStyle w:val="Heading2"/>
        <w:keepNext/>
      </w:pPr>
      <w:r>
        <w:t>Tre modalità in cui il potere finanziario può produrre cambiamento</w:t>
      </w:r>
    </w:p>
    <w:p>
      <w:r>
        <w:rPr>
          <w:b w:val="0"/>
        </w:rPr>
        <w:t>Allocazione — Capitale primario, credito, garanzie o condizioni non disponibili altrimenti. La prova è nella barriera di finanziamento superata, nei costi e negli effetti sull’attività.</w:t>
      </w:r>
    </w:p>
    <w:p>
      <w:r>
        <w:rPr>
          <w:b w:val="0"/>
        </w:rPr>
        <w:t>Stewardship — Voto, comitati, budget, management, target e supporto operativo. La prova è nelle decisioni modificate e nei risultati conseguenti, non nella frequenza dei consigli di amministrazione.</w:t>
      </w:r>
    </w:p>
    <w:p>
      <w:r>
        <w:rPr>
          <w:b w:val="0"/>
        </w:rPr>
        <w:t>Costruzione di mercato — Standard, interoperabilità, capacità istituzionali, infrastrutture di dati, coalizioni di domanda. La prova è più indiretta e l’attribuzione più difficile, ma l’effetto potenziale può estendersi oltre un singolo bilancio.</w:t>
      </w:r>
    </w:p>
    <w:p>
      <w:pPr>
        <w:pStyle w:val="Heading2"/>
        <w:keepNext/>
      </w:pPr>
      <w:r>
        <w:t>Il buyout: quando il potere deve lasciare una traccia</w:t>
      </w:r>
    </w:p>
    <w:p>
      <w:pPr>
        <w:pStyle w:val="Heading3"/>
        <w:keepNext/>
      </w:pPr>
      <w:r>
        <w:t>Il buyout non è automaticamente impact investing</w:t>
      </w:r>
    </w:p>
    <w:p>
      <w:r>
        <w:t>La peculiarità del private equity di controllo risiede nel potere di modificare la condotta dell’impresa. Ma l’esercizio del controllo può perseguire esclusivamente margini, capitale circolante o ricomposizione industriale. Il dossier propone di distinguere una tesi di creazione di valore aziendale da una tesi di miglioramento degli outcome, senza forzare la seconda dentro la prima. Un manager può professionalizzare gli acquisti e ridurre costi senza incidere su alcun problema sociale importante; un altro può investire in un servizio di dati accessibili ai comuni con budget limitati, assumendo costi e rischi addizionali. Solo per quest’ultimo intervento la narrativa dell’impatto richiede una verifica specifica [1, 7, 17].</w:t>
      </w:r>
    </w:p>
    <w:p>
      <w:pPr>
        <w:pStyle w:val="Heading3"/>
        <w:keepNext/>
      </w:pPr>
      <w:r>
        <w:t>Un modello numerico che separa acquisizione e sviluppo</w:t>
      </w:r>
    </w:p>
    <w:p>
      <w:r>
        <w:t>Simulazione di buyout industriale — dati inventati e non riferiti ad alcuna società target.</w:t>
      </w:r>
    </w:p>
    <w:p>
      <w:r>
        <w:t>L’acquisizione da 24 milioni può trasferire semplicemente la proprietà. I 3 milioni di capitale primario e il piano di governance offrono un percorso di contributo dell’investitore, ma soltanto se finanziano attività ulteriori rispetto a quelle già previste: per esempio upgrade dell’infrastruttura informativa, contratti pubblici accessibili, audit dei bias o interoperabilità. La prova richiede business plan ante-investimento, delibere, condizioni di mercato disponibili, spesa effettiva e confronto con l’evoluzione prevedibile senza il fondo. Il multiple di 1,58x non incorpora tempistiche, debito intermedio o flussi distribuiti; non sostituisce il rendimento finanziario e non misura il beneficio per gli utenti.</w:t>
      </w:r>
    </w:p>
    <w:p>
      <w:pPr>
        <w:pStyle w:val="Heading3"/>
        <w:keepNext/>
      </w:pPr>
      <w:r>
        <w:t>Un patto di investimento con obiettivi distinti</w:t>
      </w:r>
    </w:p>
    <w:p>
      <w:r>
        <w:t>•  KPI industriali: ricavi, margine, cash conversion, backlog, qualità del servizio, retention del personale tecnico.</w:t>
      </w:r>
    </w:p>
    <w:p>
      <w:r>
        <w:t>•  KPI di outcome: tempi di risposta degli enti, accessibilità dei piccoli comuni, uso operativo, affidabilità in situazioni critiche.</w:t>
      </w:r>
    </w:p>
    <w:p>
      <w:r>
        <w:t>•  KPI di investor contribution: decisioni di board, budget aggiuntivi, condizioni commerciali differenziate, capacità manageriali mobilitate.</w:t>
      </w:r>
    </w:p>
    <w:p>
      <w:r>
        <w:t>•  KPI di salvaguardia: incidenti di sicurezza, reclami, vulnerabilità dei dati, usi non autorizzati, effetti ambientali lungo il ciclo di vita.</w:t>
      </w:r>
    </w:p>
    <w:p>
      <w:r>
        <w:t>È coerente per un fondo di private equity non dichiararsi fondo impact se l’intenzionalità e la misurazione non sono parti del suo mandato. Esso può comunque valutare e gestire esternalità sociali e ambientali dei singoli asset. Proclamare una categoria non documentata indebolisce la credibilità con LP e stakeholder, mentre una rendicontazione proporzionata e trasparente valorizza il lavoro industriale effettivamente svolto.</w:t>
      </w:r>
    </w:p>
    <w:p>
      <w:pPr>
        <w:pStyle w:val="Heading3"/>
        <w:keepNext/>
      </w:pPr>
      <w:r>
        <w:t>Il tema dell’uscita: cosa resta quando il fondo vende?</w:t>
      </w:r>
    </w:p>
    <w:p>
      <w:pPr/>
      <w:r/>
      <w:r>
        <w:t>La valutazione non deve fermarsi al momento dell’exit. Un contratto pubblico mantenuto soltanto durante il controllo del fondo è un risultato più fragile di una capacità istituzionalizzata nell’impresa. Occorrono portabilità dei dati, competenze interne, governance trasferibile, obblighi continuativi ai clienti e salvaguardie sull’uso della tecnologia. L’Impact Principle 7 propone di considerare l’effetto dell’uscita sulla persistenza dei risultati, nel rispetto degli interessi fiduciari [R07].</w:t>
      </w:r>
    </w:p>
    <w:p>
      <w:pPr>
        <w:pStyle w:val="Heading2"/>
        <w:keepNext/>
      </w:pPr>
      <w:r>
        <w:t>Il paradosso del controllo: più potere, meno alibi</w:t>
      </w:r>
    </w:p>
    <w:p>
      <w:r>
        <w:t>Il fondo che controlla una società ha una leva particolare: può decidere su governance, capitale circolante, destinazione del CAPEX, piani commerciali e qualità dei contratti. Questo potere è anche una possibilità concreta di introdurre benefici ambientali o sociali altrimenti trascurati. Tuttavia, i conflitti fra margine e accesso non scompaiono perché un documento parla di missione. Talvolta diventano più visibili.</w:t>
      </w:r>
    </w:p>
    <w:p>
      <w:r>
        <w:t>Consideriamo un fornitore di servizi geospaziali utilizzato da utility e amministrazioni. La crescita può essere perseguita eliminando clienti poco profittevoli, riducendo il servizio nelle aree più fragili e concentrandosi su grandi contratti. Il margine sale, il business migliora e il beneficio distribuito può contrarsi. Una strategia alternativa usa lo stesso controllo per standardizzare il software e ridurre i costi marginali, mantenendo tariffe accessibili ai comuni minori attraverso accordi aggregati. Non è scontato che quest'ultima opzione vinca economicamente. È indispensabile valutarne il trade-off, non nasconderlo.</w:t>
      </w:r>
    </w:p>
    <w:p>
      <w:r>
        <w:t>Una tesi credibile di impatto in un buyout deve collocare il proprio meccanismo dentro il piano industriale: quali nuove scelte, con quale budget, sotto quale responsabilità, con quali milestone operative e quali costi di compliance. Le imprese non cambiano perché il gestore introduce una nuova slide; cambiano quando cambiano procedure, prezzi, persone e incentivi.</w:t>
      </w:r>
    </w:p>
    <w:p>
      <w:r>
        <w:t>C'è infine il problema dei multipli. Se la valutazione dell'asset all'exit riflette essenzialmente un mercato più generoso, si è creato ritorno finanziario ma non per questo impatto. Se invece l'azienda ha costruito un servizio di utilità pubblica durevole, misurabile e meno costoso da distribuire, la vendita può monetizzare una capacità creata senza esaurirne il valore sociale. È un risultato più esigente; anche per questo vale la pena provarci.</w:t>
      </w:r>
    </w:p>
    <w:p>
      <w:pPr>
        <w:pStyle w:val="Heading2"/>
        <w:keepNext/>
      </w:pPr>
      <w:r>
        <w:t>Il confronto con i mercati secondari</w:t>
      </w:r>
    </w:p>
    <w:p>
      <w:r>
        <w:t>Sul mercato secondario la compravendita può migliorare liquidità, scoprire prezzi, modificare aspettative o sostenere coalizioni di engagement. Tutto plausibile. Ma non equivale a dire che ogni ordine di acquisto abbia costruito una scuola, ridotto un’emissione o evitato un disastro. La letteratura segnala qui un’area di persistente incertezza. È il tipo di incertezza che il marketing tende a considerare un dettaglio tipografico; la ricerca, giustamente, no. [R01]</w:t>
      </w:r>
    </w:p>
    <w:p>
      <w:pPr>
        <w:pStyle w:val="Heading1"/>
        <w:keepNext/>
      </w:pPr>
      <w:r>
        <w:t>04 / PHILANTHROPY E MERCATO</w:t>
      </w:r>
    </w:p>
    <w:p>
      <w:pPr>
        <w:pStyle w:val="Kicker"/>
        <w:spacing w:after="80"/>
      </w:pPr>
      <w:r>
        <w:t>LA DONAZIONE INTELLIGENTE NON DEVE TRAVESTIRSI DA EQUITY</w:t>
      </w:r>
    </w:p>
    <w:p>
      <w:r>
        <w:t>La filantropia possiede una libertà che la finanza commerciale non ha: può pagare ciò che produce valore collettivo senza che il beneficiario diretto possa restituire il capitale. È una libertà enorme, a condizione di usarla con lucidità. Quando un grant serve solo a rendere più gradevole l’IRR di un investitore che sarebbe entrato comunque, abbiamo inventato un sussidio con un eccellente ufficio stampa.</w:t>
      </w:r>
    </w:p>
    <w:p>
      <w:pPr>
        <w:pStyle w:val="Heading2"/>
        <w:keepNext/>
      </w:pPr>
      <w:r>
        <w:t>Il grant catalitico: l’arte di finanziare ciò che manca</w:t>
      </w:r>
    </w:p>
    <w:p>
      <w:r>
        <w:t>La filantropia tradizionale può finanziare un servizio socialmente indispensabile senza chiedere che si trasformi in un’impresa. La venture philanthropy aggiunge, di norma, orizzonte pluriennale, accompagnamento attivo, obiettivi chiari e attenzione alla capacità dell’organizzazione. Il grant catalitico ha un obiettivo specifico: pagare ciò che rende possibile un passaggio successivo che oggi non avverrebbe o avverrebbe con maggiore rischio.</w:t>
      </w:r>
    </w:p>
    <w:p>
      <w:r>
        <w:t>Questa differenza conta. Se una fondazione paga il primo dataset geospaziale di una ONG e un’impresa privata in seguito monetizza le conoscenze senza garantire l’accesso pubblico previsto, l’esito non è necessariamente virtuoso. Se invece il sostegno crea un servizio affidabile che può essere acquistato da amministrazioni o garantito da finanziamento stabile, il grant può aver svolto una funzione pubblica aggiuntiva. Il numero di euro attratti dopo il grant resta un dato intermedio, non una prova del beneficio finale.</w:t>
      </w:r>
    </w:p>
    <w:p>
      <w:r>
        <w:t>Per giudicare un programma catalitico servono cinque risposte: quale barriera viene rimossa; perché un finanziatore ordinario non la rimuove oggi; quali capacità saranno costruite; quale percorso economico sosterrà il servizio dopo il grant; quale esito sociale sarà verificato. Un fallimento sperimentale può essere informativo e quindi utile, se progettato per produrre conoscenza trasferibile e se è stato gestito senza danni eccessivi.</w:t>
      </w:r>
    </w:p>
    <w:p>
      <w:pPr>
        <w:pStyle w:val="Heading2"/>
        <w:keepNext/>
      </w:pPr>
      <w:r>
        <w:t>Quando la filantropia fa il lavoro che il mercato non vuole vedere</w:t>
      </w:r>
    </w:p>
    <w:p>
      <w:r>
        <w:t>La fase iniziale di un servizio utile assomiglia spesso a una cucina dopo il pranzo, non a una conferenza stampa: dati sparsi, contratti da armonizzare, persone da formare, autorizzazioni, formati incompatibili, procedure di qualità. Sono costi che nessuno ama finanziare perché non producono una foto da prima pagina. Eppure, senza di essi, la parte nobile del progetto semplicemente non parte.</w:t>
      </w:r>
    </w:p>
    <w:p>
      <w:r>
        <w:t>Il grant catalitico nasce precisamente lì. Può pagare una prova di interoperabilità, un modello di governance dei dati, un sistema di audit o un presidio locale che riduca l'asimmetria tra fornitore tecnologico e acquirente pubblico. Non serve promettere che una donazione si trasformerà necessariamente in un investimento. La parola «catalitico» indica che la risorsa rende possibile una fase altrimenti bloccata; la forma assunta dal sostegno successivo dipende dalla natura del beneficio e dalla presenza di un pagatore.</w:t>
      </w:r>
    </w:p>
    <w:p>
      <w:r>
        <w:t>La differenza fra grant di consumo e grant di capacità non deve neppure diventare un pregiudizio. Quando si tratta di garantire un servizio essenziale a persone prive di potere d'acquisto, un finanziamento ricorrente può essere perfettamente giustificato. Il problema nasce quando il finanziatore promette autonomia economica dove mancano i presupposti, oppure finanzia indefinitamente un'organizzazione senza verificare se esistano alternative più efficaci.</w:t>
      </w:r>
    </w:p>
    <w:p>
      <w:r>
        <w:t>Una buona architettura filantropica parte da una geografia dei costi, non da un elenco di sogni. Identifica quelli una tantum, quelli permanenti, quelli recuperabili attraverso ricavi e quelli che restano beni pubblici. Poi decide quali affidare a donazioni, contratti, capitale di rischio o bilanci pubblici. Da quel momento la parola «sostenibilità» smette di significare genericamente futuro e torna a significare chi pagherà una fattura.</w:t>
      </w:r>
    </w:p>
    <w:p>
      <w:pPr>
        <w:pStyle w:val="Heading2"/>
        <w:keepNext/>
      </w:pPr>
      <w:r>
        <w:t>Il collo di bottiglia: progetto, istituzione o capacità?</w:t>
      </w:r>
    </w:p>
    <w:p>
      <w:pPr>
        <w:pStyle w:val="Heading3"/>
        <w:keepNext/>
      </w:pPr>
      <w:r>
        <w:t>Prima il collo di bottiglia, poi l’assegno</w:t>
      </w:r>
    </w:p>
    <w:p>
      <w:pPr/>
      <w:r/>
      <w:r>
        <w:t>Un grant è catalitico quando finanzia un passaggio la cui assenza blocca altre risorse o un servizio durevole. Non basta che sia piccolo, innovativo o indirizzato a una buona causa. Nel 2026 Impact Europe descrive una pratica osservata su 20 organizzazioni rispondenti — non un censimento del mercato — che può accompagnare un’organizzazione verso investimenti, contratti pubblici o ulteriori finanziamenti filantropici. L’indagine riguarda 27 risposte su 350 inviti e riporta 432 milioni di euro di grant 2024 per le 20 organizzazioni coerenti con la definizione: evidenza dichiarativa, non prova causale [R03].</w:t>
      </w:r>
    </w:p>
    <w:p>
      <w:r>
        <w:t>Nel campo geospaziale i colli di bottiglia più sottovalutati non sono necessariamente satelliti o algoritmi. Possono essere il tempo del responsabile comunale, una licenza adatta alla condivisione, gli accordi per accedere a dati amministrativi, l’adattamento a un sistema informativo esistente, la validazione sul campo, la formazione di una cooperativa o la definizione di un capitolato acquistabile.</w:t>
      </w:r>
    </w:p>
    <w:p>
      <w:pPr>
        <w:pStyle w:val="Heading3"/>
        <w:keepNext/>
      </w:pPr>
      <w:r>
        <w:t>Un caso numerico completo: grant di 200.000 euro</w:t>
      </w:r>
    </w:p>
    <w:p>
      <w:pPr/>
      <w:r/>
      <w:r>
        <w:t>Scenario illustrativo, non riferito a un’operazione reale — otto enti locali, piattaforma pubblica di gestione dei rischi idrogeologici. Nessuna delle cifre rappresenta un progetto reale.</w:t>
      </w:r>
    </w:p>
    <w:p>
      <w:r>
        <w:t>La struttura proposta eroga il 30% all’avvio, il 40% dopo validazione e adozione documentata, il 30% dopo dodici mesi su base di apprendimenti e verifica, non esclusivamente di outcome che dipendono da eventi climatici casuali. Il grant non remunera direttamente la quantità di alluvioni evitate: sarebbe un incentivo impraticabile e potenzialmente distorsivo. La misurazione privilegia prontezza decisionale, accesso dei territori fragili, qualità degli avvisi e durata dell’adozione.</w:t>
      </w:r>
    </w:p>
    <w:p>
      <w:r>
        <w:t>La via d’uscita non è necessariamente un round di capitale. Sono ammesse tre traiettorie: appalto regolare di enti pubblici; gestione consortile con contributi continuativi; licenza commerciale incrociata che consenta un servizio gratuito o calmierato ai territori meno solvibili. In ciascuna, il finanziatore verifica se sarebbe esistito un canale alternativo e se il grant abbia migliorato tempi, accessibilità o qualità, anziché regalare un margine a un fornitore che avrebbe comunque venduto il prodotto.</w:t>
      </w:r>
    </w:p>
    <w:p>
      <w:pPr>
        <w:pStyle w:val="Heading3"/>
        <w:keepNext/>
      </w:pPr>
      <w:r>
        <w:t>Clausole indispensabili del grant agreement</w:t>
      </w:r>
    </w:p>
    <w:p>
      <w:r>
        <w:t>•  Destinazione ammessa delle spese, massimali di riallocazione e regole contro conflitti d’interesse.</w:t>
      </w:r>
    </w:p>
    <w:p>
      <w:r>
        <w:t>•  Titolarità dei dati, licenze e accesso pubblico a risultati aggregati non sensibili.</w:t>
      </w:r>
    </w:p>
    <w:p>
      <w:r>
        <w:t>•  Milestone misurabili ma rivedibili quando cambiano le ipotesi, previa decisione documentata.</w:t>
      </w:r>
    </w:p>
    <w:p>
      <w:r>
        <w:t>•  Regole per progetti non conclusi: restituzione proporzionata dei fondi non spesi e possibilità di pubblicare lezioni negative.</w:t>
      </w:r>
    </w:p>
    <w:p>
      <w:r>
        <w:t>•  Divieto di confondere quote di investimento attivate in seguito con outcome sociali automaticamente realizzati.</w:t>
      </w:r>
    </w:p>
    <w:p>
      <w:pPr>
        <w:pStyle w:val="Heading2"/>
        <w:keepNext/>
      </w:pPr>
      <w:r>
        <w:t>Che cosa emerge dal sondaggio Impact Europe del 2026</w:t>
      </w:r>
    </w:p>
    <w:p>
      <w:r>
        <w:t>Impact Europe ha contattato 350 organizzazioni; 27 hanno risposto e 20 dichiarano pratiche compatibili con la definizione adottata. Le 20 riportano 432 milioni di euro di grant catalitici erogati nel 2024. È un numero rilevante per un gruppo ristretto, non una stima dell’universo europeo. L’associazione stessa lo presenta come primo sguardo su un’attività scarsamente misurata; l’autoselezione del campione non permette un confronto causale né una proiezione statistica. [R03]</w:t>
      </w:r>
    </w:p>
    <w:p>
      <w:r>
        <w:t>Il valore concettuale del dato non è la sua imponenza, ma la fase che illumina. Prima dell’investimento spesso non manca solo il capitale: mancano la capacità di misurare, gli acquisti pilota, l’amministrazione dei contratti, la qualità del dato, il personale che traduce un’invenzione in un servizio. Nessuna delle precedenti attività garantisce di diventare una scale-up. Possono invece generare un servizio pubblico stabile, e sarebbe un successo che non deve chiedere permesso al venture capital.</w:t>
      </w:r>
    </w:p>
    <w:p>
      <w:pPr>
        <w:pStyle w:val="Heading2"/>
        <w:keepNext/>
      </w:pPr>
      <w:r>
        <w:t>Quando il grant cambia le regole</w:t>
      </w:r>
    </w:p>
    <w:p>
      <w:r>
        <w:t>Una fondazione può finanziare un progetto. Oppure può cambiare le condizioni che rendono investibile una categoria di progetti. Nel primo caso il risultato si gioca in un’organizzazione; nel secondo riguarda dati comuni, standard, competenze, domanda pubblica, valutazioni indipendenti e relazioni stabili fra soggetti che prima non collaboravano.</w:t>
      </w:r>
    </w:p>
    <w:p>
      <w:pPr/>
      <w:r/>
      <w:r>
        <w:t>La prospettiva WEF–GAEA indica proprio questo passaggio dal singolo assegno all’ecosistema: capitale paziente, reti e governance possono creare condizioni affinché le soluzioni sostenibili si reggano senza sostegno indefinito [R04]. L’obiettivo, però, non si raggiunge dichiarando che un mercato è stato “sbloccato”. Occorre osservare chi entra, quali costi calano, quali informazioni diventano disponibili, quali contratti vengono conclusi, e se vi sono benefici per gruppi precedentemente esclusi.</w:t>
      </w:r>
    </w:p>
    <w:p>
      <w:pPr/>
      <w:r/>
      <w:r>
        <w:t>Nel finanziamento misto, la disciplina è ancora più severa. La Guidance OCSE del 2025 richiede di analizzare l’addizionalità a livello di transazione e di sistema, documentarla e riesaminarla nel tempo. La concessionalità non deve remunerare con risorse pubbliche o filantropiche un rischio che il mercato già assume a termini accettabili. Deve rendere possibili investimenti che altrimenti non verrebbero effettuati, limitando spiazzamento, distorsioni e rendite [R08].</w:t>
      </w:r>
    </w:p>
    <w:p>
      <w:pPr>
        <w:pStyle w:val="Heading3"/>
        <w:keepNext/>
      </w:pPr>
      <w:r>
        <w:t>Il continuum del capitale</w:t>
      </w:r>
    </w:p>
    <w:p>
      <w:r>
        <w:t>Non esiste una freccia obbligata dalla donazione alla quotazione, né dal grant al venture capital. Alcuni servizi socialmente imprescindibili devono rimanere sostenuti da appalti, fiscalità o filantropia strutturale. Altri possono diventare imprese redditizie. Confondere i due esiti induce a celebrare l’“investibilità” anche dove produce esclusione degli utenti non solvibili.</w:t>
      </w:r>
    </w:p>
    <w:p>
      <w:r>
        <w:t>Un sistema maturo non forza ogni organizzazione nel linguaggio degli investitori: riconosce il diverso mandato degli strumenti, coordina i passaggi e verifica se il beneficio permane quando cambia il finanziatore.</w:t>
      </w:r>
    </w:p>
    <w:p>
      <w:pPr>
        <w:pStyle w:val="Heading2"/>
        <w:keepNext/>
      </w:pPr>
      <w:r>
        <w:t>Market shaping e infrastrutture comuni</w:t>
      </w:r>
    </w:p>
    <w:p>
      <w:pPr>
        <w:pStyle w:val="Heading3"/>
        <w:keepNext/>
      </w:pPr>
      <w:r>
        <w:t>Un’infrastruttura di impatto non coincide con un portafoglio di grant</w:t>
      </w:r>
    </w:p>
    <w:p>
      <w:pPr/>
      <w:r/>
      <w:r>
        <w:t>La proposta del World Economic Forum–GAEA, nel white paper 2026 dedicato a 11 casi nei sistemi di oceani, foreste ed energia, è che attori filantropici e investitori possano creare condizioni di mercato attraverso capitale, relazioni, conoscenza e azione collettiva [R04]. Trasferita al settore spaziale, questa ipotesi va testata su standard di interoperabilità, qualità della domanda pubblica, fiducia nella prova e sostenibilità dei servizi, senza presumere che la creazione di un mercato sia sempre socialmente positiva.</w:t>
      </w:r>
    </w:p>
    <w:p>
      <w:r>
        <w:t>Un mercato può crescere e contemporaneamente escludere territori non solvibili; può diventare più efficiente ma concentrare dati e potere; può aumentare le commesse e ridurre la capacità locale di prendere decisioni. Il market shaping merita questa denominazione soltanto quando un cambiamento del sistema risponde a un bisogno valutato, produce benefici distribuiti in modo accettabile e conserva possibilità di accesso e contestazione.</w:t>
      </w:r>
    </w:p>
    <w:p>
      <w:pPr>
        <w:pStyle w:val="Heading3"/>
        <w:keepNext/>
      </w:pPr>
      <w:r>
        <w:t>Sequenziare cinque funzioni</w:t>
      </w:r>
    </w:p>
    <w:p>
      <w:pPr>
        <w:pStyle w:val="Heading3"/>
        <w:keepNext/>
      </w:pPr>
      <w:r>
        <w:t>Tre indici da non confondere</w:t>
      </w:r>
    </w:p>
    <w:p>
      <w:r>
        <w:t>Mobilitazione: quanti finanziatori e quante risorse hanno aderito oltre l’intervento catalitico; occorre distinguere importi annunciati, committed ed effettivamente versati. Trasformazione di mercato: cambiamenti persistenti in offerta, standard, tempi, prezzi, capacità e concorrenza. Beneficio finale: variazioni dimostrate per popolazioni e ambiente. Non esiste una conversione universale fra i tre indici. Un programma può mobilitare molto capitale e produrre scarsi outcome; un grant modesto può generare beni comuni importanti senza attirare equity.</w:t>
      </w:r>
    </w:p>
    <w:p>
      <w:pPr>
        <w:pStyle w:val="Heading2"/>
        <w:keepNext/>
      </w:pPr>
      <w:r>
        <w:t>Un’autentica uscita dal grant può anche essere un bilancio pubblico</w:t>
      </w:r>
    </w:p>
    <w:p>
      <w:r>
        <w:t>In alcuni territori il cliente non esiste perché il valore è disperso: un sistema di allerta riduce danni potenziali per molte famiglie, ma nessuna può finanziare da sola la piattaforma. In altri casi il cliente potenziale esiste, ma il contratto arriva tardi o ha costi amministrativi proibitivi. La filantropia può intervenire creando dati comuni, modelli di domanda aggregata, capacità di procurement e validazione indipendente. Se il risultato finale è un servizio che un ente pubblico acquista regolarmente, non è una sconfitta della venture philanthropy: è il superamento della dipendenza dalla donazione.</w:t>
      </w:r>
    </w:p>
    <w:p>
      <w:pPr>
        <w:pStyle w:val="Heading1"/>
        <w:keepNext/>
      </w:pPr>
      <w:r>
        <w:t>05 / FINANZA E VALORE</w:t>
      </w:r>
    </w:p>
    <w:p>
      <w:pPr>
        <w:pStyle w:val="Kicker"/>
        <w:spacing w:after="80"/>
      </w:pPr>
      <w:r>
        <w:t>IL CAPITALE GIUSTO AL PREZZO GIUSTO</w:t>
      </w:r>
    </w:p>
    <w:p>
      <w:r>
        <w:t>Dietro l’espressione blended finance si nasconde un negoziato piuttosto poco romantico: chi sopporta la prima perdita, chi prende il rendimento, chi ottiene il diritto di veto e chi paga se l’impatto non arriva? Sono domande migliori di una foto di gruppo al closing. La concessionalità è giustificata soltanto se rimuove un fallimento verificabile del mercato e non sostituisce capitale già disponibile.</w:t>
      </w:r>
    </w:p>
    <w:p>
      <w:pPr>
        <w:pStyle w:val="Heading2"/>
        <w:keepNext/>
      </w:pPr>
      <w:r>
        <w:t>Blended finance: più mobilitazione, meno regali</w:t>
      </w:r>
    </w:p>
    <w:p>
      <w:pPr>
        <w:pStyle w:val="Heading3"/>
        <w:keepNext/>
      </w:pPr>
      <w:r>
        <w:t>La gerarchia degli strumenti non è morale: è economica</w:t>
      </w:r>
    </w:p>
    <w:p>
      <w:r>
        <w:t>A un bisogno di capitale corrispondono strumenti molto diversi: grant per un servizio che non possiede un pagatore, recoverable grant dove il successo consente restituzione, prestito subordinato per una fase con cassa incerta, first-loss per contenere una specifica esposizione, garanzia per una posizione identificata, equity paziente per una crescita il cui valore non arriva nel tempo dell’investitore ordinario, finanziamento senior quando esiste capacità di rimborso. Scegliere lo strumento più generoso quando il mercato offrirebbe termini analoghi comporta il rischio di crowding-out e di trasferimento di valore a soggetti non prioritari.</w:t>
      </w:r>
    </w:p>
    <w:p>
      <w:pPr/>
      <w:r/>
      <w:r>
        <w:t>La guida OECD DAC sulla blended finance del 2025 distingue addizionalità finanziaria, di sviluppo e di valore. Chiede motivazione, documentazione e verifica del ruolo del capitale concessionale, su operazioni e sistemi, con attenzione alla mobilitazione del privato [R08, R08]. Da ciò non deriva che ogni intervento filantropico debba “levare” un multiplo elevato: alcuni servizi essenziali meritano il grant anche senza bancabilità, purché il mandato lo preveda chiaramente.</w:t>
      </w:r>
    </w:p>
    <w:p>
      <w:pPr>
        <w:pStyle w:val="Heading3"/>
        <w:keepNext/>
      </w:pPr>
      <w:r>
        <w:t>Simulazione: garanzia first-loss di 1,5 milioni su prestito da 5 milioni</w:t>
      </w:r>
    </w:p>
    <w:p>
      <w:pPr/>
      <w:r/>
      <w:r>
        <w:t>Scenario ipotetico: un portafoglio di progetti di servizi satellitari per infrastrutture pubbliche richiede un prestito di 5 milioni di euro; il garante assume le prime perdite sul portafoglio fino a 1,5 milioni. Il rapporto fra prestito nominale e massimale garantito è 5/1,5 = 3,33. È una misura meccanica di esposizione coperta, NON il moltiplicatore di capitale realmente mobilitato né la misura dell’impatto [R08].</w:t>
      </w:r>
    </w:p>
    <w:p>
      <w:r>
        <w:t>Prima di chiamare “catalitica” la garanzia occorre documentare se il finanziatore privato avrebbe partecipato senza copertura; quali spread e condizioni avrebbe praticato; se il fondo di garanzia ottiene un premio adeguato; quali requisiti di eleggibilità proteggono le comunità; come sono distribuite le perdite tra garante, banca e sponsor. Il contratto dovrebbe imporre disclosure del subsidy element e dei risultati netti della misura, non soltanto del capitale erogato.</w:t>
      </w:r>
    </w:p>
    <w:p>
      <w:pPr>
        <w:pStyle w:val="Heading3"/>
        <w:keepNext/>
      </w:pPr>
      <w:r>
        <w:t>La regola del minimo necessario</w:t>
      </w:r>
    </w:p>
    <w:p>
      <w:r>
        <w:t>La concessionalità può essere trattata come una risorsa scarsa da allocare ai soli fallimenti di mercato identificati. Il test operativo è: (1) stabilire quale rischio impedisce l’operazione; (2) chiedere una term sheet senza sussidio; (3) calibrare lo strumento meno distorsivo; (4) definire una sunset clause o un meccanismo di riduzione; (5) misurare chi cattura il vantaggio economico. In assenza di questa disciplina, la blended finance rischia di socializzare il downside mentre l’upside resta interamente privato.</w:t>
      </w:r>
    </w:p>
    <w:p>
      <w:pPr>
        <w:pStyle w:val="Heading2"/>
        <w:keepNext/>
      </w:pPr>
      <w:r>
        <w:t>Tre strutture, tre problemi diversi</w:t>
      </w:r>
    </w:p>
    <w:p>
      <w:r>
        <w:t>Non tutte le attività space-enabled hanno lo stesso profilo di rischio, orizzonte o struttura dei ricavi. Il compito del finanziatore è scegliere lo strumento coerente con il fallimento da correggere. La fondazione può sostenere dati condivisi e alfabetizzazione; il grant catalitico può validare una soluzione; un programma pubblico può comprare il servizio; capitale paziente può accompagnare la transizione; il private equity può rafforzare la capacità industriale di operatori già sostenibili.</w:t>
      </w:r>
    </w:p>
    <w:p>
      <w:r>
        <w:t>Le tre configurazioni che seguono sono costruzioni analitiche originali. Servono a mostrare dove si genera l’eventuale contributo e quali prove impedirebbero un’attribuzione superficiale. Non identificano fondi, imprese o contratti realmente in essere.</w:t>
      </w:r>
    </w:p>
    <w:p>
      <w:pPr>
        <w:pStyle w:val="Heading3"/>
        <w:keepNext/>
      </w:pPr>
      <w:r>
        <w:t>Caso A — Il grant che trasforma immagini in decisioni</w:t>
      </w:r>
    </w:p>
    <w:p>
      <w:r>
        <w:t>Un ente filantropico assegna 200.000 euro a un’organizzazione che collabora con due territori vulnerabili alle alluvioni. L’obiettivo non è costruire un satellite, ma tradurre dati già disponibili in un protocollo operativo per chi gestisce il rischio. L’accordo finanzia test locali, formazione, analisi di affidabilità e un sistema di verifica. Alla fine dell’anno l’organizzazione presenta: protocolli adottati, persone formate, tempi di risposta e risultati del confronto con la baseline.</w:t>
      </w:r>
    </w:p>
    <w:p>
      <w:r>
        <w:t>Cosa si può dichiarare? Che è stata costruita una capacità, se i documenti lo provano. Non si può dichiarare un numero di vite salvate deducendolo meccanicamente dalla copertura dell’area. Cosa rende catalitico il grant? La dimostrazione, ex ante e poi ex post, che senza quel contributo la capacità non si sarebbe materializzata in tempi e qualità comparabili.</w:t>
      </w:r>
    </w:p>
    <w:p>
      <w:pPr>
        <w:pStyle w:val="Heading3"/>
        <w:keepNext/>
      </w:pPr>
      <w:r>
        <w:t>Caso B — Capitale concessionale che riduce un rischio circoscritto</w:t>
      </w:r>
    </w:p>
    <w:p>
      <w:r>
        <w:t>Una utility in un paese a basso reddito valuta un servizio di monitoraggio delle perdite idriche con dati satellitari e terrestri. Il prodotto è promettente, ma il costo di validazione è elevato e i primi pagamenti sono incerti. Una fondazione sostiene la verifica indipendente e, se necessario, un meccanismo limitato di condivisione del rischio di avviamento; un investitore commerciale finanzia l’espansione soltanto dopo test tecnici ed economici superati.</w:t>
      </w:r>
    </w:p>
    <w:p>
      <w:r>
        <w:t>Il successo non è il multiplo di capitale privato mobilitato preso isolatamente. È la combinazione di contratti sostenibili, qualità del servizio, effettiva riduzione delle perdite e accesso non discriminatorio. Se la utility avrebbe acquistato lo stesso servizio in assenza della garanzia, la concessionalità non è giustificata. Se i prezzi aumentano per gli utenti fragili, l’impatto va misurato al netto del danno.</w:t>
      </w:r>
    </w:p>
    <w:p>
      <w:pPr>
        <w:pStyle w:val="Heading3"/>
        <w:keepNext/>
      </w:pPr>
      <w:r>
        <w:t>Caso C — Un buyout space-enabled con stewardship reale</w:t>
      </w:r>
    </w:p>
    <w:p>
      <w:r>
        <w:t>Un fondo di private equity acquista una partecipazione di controllo in una PMI profittevole che fornisce software geospaziale per la gestione dei rischi naturali. L’operazione è finanziariamente sensata anche senza etichette d’impatto. L’eventuale investor contribution nasce soltanto da atti incrementali: investimenti non previsti in interoperabilità, condizioni accessibili per territori marginali, indicatori di affidabilità e qualità, maggiore sicurezza informatica, accessibilità linguistica, procedure di feedback degli utenti.</w:t>
      </w:r>
    </w:p>
    <w:p>
      <w:r>
        <w:t>Al termine del periodo di investimento, il fondo dovrebbe poter separare tre risultati: crescita economica dell’impresa; outcome dei servizi presso i clienti; cambiamenti resi possibili dai propri capitali, diritti e capacità gestionali rispetto a un percorso alternativo credibile. È possibile ottenere il primo senza il secondo, e i primi due senza aver provato il terzo. Questa separazione è decisiva anche per non usare impropriamente la parola impact in un fondo che per mandato persegua soprattutto buyout industriali.</w:t>
      </w:r>
    </w:p>
    <w:p>
      <w:pPr>
        <w:pStyle w:val="Heading3"/>
        <w:keepNext/>
      </w:pPr>
      <w:r>
        <w:t>Una matrice per selezionare lo strumento</w:t>
      </w:r>
    </w:p>
    <w:p>
      <w:pPr>
        <w:pStyle w:val="Heading2"/>
        <w:keepNext/>
      </w:pPr>
      <w:r>
        <w:t>Il confine economico: se il mercato finanzierebbe comunque, chi è stato catalizzato?</w:t>
      </w:r>
    </w:p>
    <w:p>
      <w:r>
        <w:t>L’OECD DAC Guidance 2025 insiste sull’addizionalità a livello di transazione e di sistema, oltre che sulla sostenibilità commerciale e sulla riduzione graduale della concessionalità. Il punto non è soltanto mobilitare più euro privati: è verificare che quegli euro non sarebbero arrivati in condizioni equivalenti, senza peggiorare gli incentivi degli altri operatori. [R08]</w:t>
      </w:r>
    </w:p>
    <w:p>
      <w:r>
        <w:t>Una garanzia first-loss può sbloccare credito in un mercato dove i rischi operativi non sono ancora stimabili. Ma la stessa garanzia, se trasferisce sistematicamente il downside al pubblico lasciando l’upside interamente privato, finisce per assomigliare a una polizza di rendimento. Il confine non è ideologico; è contrattuale. Dipende da pricing, limiti, trigger, frequenza delle perdite, regole di recupero e condivisione dei risultati.</w:t>
      </w:r>
    </w:p>
    <w:p>
      <w:pPr>
        <w:pStyle w:val="Heading2"/>
        <w:keepNext/>
      </w:pPr>
      <w:r>
        <w:t>Private equity di controllo: addizionalità vera o semplice ottimizzazione?</w:t>
      </w:r>
    </w:p>
    <w:p>
      <w:r>
        <w:t>Nel buyout tradizionale la creazione di valore viene spesso ricondotta a espansione dei multipli, efficienza operativa, deleveraging e crescita per acquisizioni. Sono meccanismi finanziari legittimi ma non rendono automaticamente l’impresa più utile per chi sopporta un rischio ambientale o una vulnerabilità sociale. Per sostenere una tesi di impatto servono almeno tre ulteriori passaggi: collegare investimenti e scelte industriali a un outcome esterno; dimostrarne la novità rispetto al baseline; verificarne la durata anche dopo l’exit.</w:t>
      </w:r>
    </w:p>
    <w:p>
      <w:r>
        <w:t>Un aggregatore europeo di software EO può rendere profittevole un insieme di aziende specializzate. Può anche costruire servizi più affidabili per amministrazioni e utility, portare capillarità sul territorio e ridurre il costo d’accesso ai dati. Ma soltanto la seconda catena, una volta misurata, sostiene una narrativa di impatto. L’EBITDA non è una misura di sicurezza idrogeologica. Talvolta le due cose si muovono insieme: il compito del dossier è spiegare quando.</w:t>
      </w:r>
    </w:p>
    <w:p>
      <w:pPr>
        <w:pStyle w:val="Heading1"/>
        <w:keepNext/>
      </w:pPr>
      <w:r>
        <w:t>06 / GOVERNANCE E RISCHI</w:t>
      </w:r>
    </w:p>
    <w:p>
      <w:pPr>
        <w:pStyle w:val="Kicker"/>
        <w:spacing w:after="80"/>
      </w:pPr>
      <w:r>
        <w:t>I KPI SORRIDONO, IL RISCHIO NO</w:t>
      </w:r>
    </w:p>
    <w:p>
      <w:r>
        <w:t>Un indicatore è utilissimo fino al giorno in cui prende il posto della realtà. Contare i beneficiari serviti è più semplice che capire chi è rimasto escluso. Misurare gli allarmi inviati è più comodo che chiedere se qualcuno li ha compresi. Affidare tutto al report ESG significa spesso scoprire il problema quando è già stato rilegato e distribuito.</w:t>
      </w:r>
    </w:p>
    <w:p>
      <w:pPr>
        <w:pStyle w:val="Heading2"/>
        <w:keepNext/>
      </w:pPr>
      <w:r>
        <w:t>Cinque rischi che possono rinforzarsi a vicenda</w:t>
      </w:r>
    </w:p>
    <w:p>
      <w:pPr/>
      <w:r/>
      <w:r>
        <w:t>Il rischio d’impatto non può essere delegato a una pagina del bilancio di sostenibilità. Se entra nella promessa d’investimento, è un rischio strategico e reputazionale, con implicazioni contrattuali e, a seconda dei casi, regolamentari. La tassonomia di Islam e Cui impone di collegare misurazione, incentivi, controllo e rimedio [R02].</w:t>
      </w:r>
    </w:p>
    <w:p>
      <w:r>
        <w:t>Il conflitto più frequente è tra misurabilità e giustizia. Se un grant premia soltanto il numero di beneficiari serviti, chi gestisce il programma può preferire i casi facili. Se si finanzia un servizio climatico sulla base degli ettari coperti, si può ignorare la qualità dell’informazione utilizzata dai piccoli proprietari. Le metriche devono quindi includere disaggregazione, qualità di accesso, esiti negativi e spiegazione dei non risultati.</w:t>
      </w:r>
    </w:p>
    <w:p>
      <w:r>
        <w:t>L’assetto minimo richiede ownership dei KPI nel board o in un comitato competente; verifiche periodiche sui dati di origine; un canale di segnalazione accessibile a utenti e stakeholder; decisioni correttive documentate; e condizioni per rettificare o ritirare claim pubblici. Più il prodotto è dual use o essenziale per servizi pubblici, più il controllo deve essere rigoroso.</w:t>
      </w:r>
    </w:p>
    <w:p>
      <w:pPr>
        <w:pStyle w:val="Heading2"/>
        <w:keepNext/>
      </w:pPr>
      <w:r>
        <w:t>Chi decide, chi controlla e chi risponde</w:t>
      </w:r>
    </w:p>
    <w:p>
      <w:pPr>
        <w:pStyle w:val="Heading3"/>
        <w:keepNext/>
      </w:pPr>
      <w:r>
        <w:t>Tre linee di responsabilità, senza delegare tutto al marketing</w:t>
      </w:r>
    </w:p>
    <w:p>
      <w:r>
        <w:t>La prima responsabilità è operativa: direzione e proprietari del servizio raccolgono dati e registrano reclami. La seconda è di investimento: investment committee o grant committee verifica la coerenza fra mandato, strumento e rischio, e approva correzioni. La terza è di controllo: audit o evaluator indipendente controlla metodologia, qualità del campione e integrità delle affermazioni più materiali. Queste tre funzioni possono essere proporzionate alla scala del progetto, ma non completamente sovrapposte.</w:t>
      </w:r>
    </w:p>
    <w:p>
      <w:pPr>
        <w:pStyle w:val="Heading3"/>
        <w:keepNext/>
      </w:pPr>
      <w:r>
        <w:t>Documenti fondamentali</w:t>
      </w:r>
    </w:p>
    <w:p>
      <w:r>
        <w:t>Una documentazione robusta non deve necessariamente essere pesante. Servono cinque oggetti distinti: impact thesis (problema e soggetti), investment/grant memorandum (perché questo strumento e questo finanziatore), impact risk register (rischi positivi e negativi), measurement protocol (indicatori e limiti), impact review (scostamenti, decisioni, prove). È essenziale che tali documenti conservino la data delle ipotesi originali; riscriverli dopo il successo può produrre una narrazione impeccabile ma non verificabile.</w:t>
      </w:r>
    </w:p>
    <w:p>
      <w:pPr>
        <w:pStyle w:val="Heading3"/>
        <w:keepNext/>
      </w:pPr>
      <w:r>
        <w:t>Il rischio di “mission drift”</w:t>
      </w:r>
    </w:p>
    <w:p>
      <w:r>
        <w:t>Un ente nato per servire territori rurali può essere spinto a vendere quasi soltanto alle grandi utilities, perché pagano di più. Una società che crea strumenti di monitoraggio forestale può privilegiare clienti in grado di sostenere fee elevate ed escludere comunità che genererebbero benefici maggiori. Il drift deve essere trattato nei contratti: soglia minima di accessibilità, regole di cross-subsidy, veto su impieghi dannosi, reporting disaggregato e revisione se il mercato cambia. Nessuna clausola contrattuale sostituisce però una reale fonte di pagamento.</w:t>
      </w:r>
    </w:p>
    <w:p>
      <w:pPr>
        <w:pStyle w:val="Heading2"/>
        <w:keepNext/>
      </w:pPr>
      <w:r>
        <w:t>SFDR, ESG e impact: tre parole, tre perimetri</w:t>
      </w:r>
    </w:p>
    <w:p>
      <w:r>
        <w:t>La classificazione regolamentare di un prodotto finanziario e la dimostrazione del suo impatto non sono sinonimi. Nell'Unione europea, il regolamento SFDR impone obblighi di trasparenza su caratteristiche ambientali o sociali e obiettivi di investimento sostenibile. Un prodotto che divulga informazioni ai sensi dell'articolo 8 non ottiene per ciò solo una certificazione di impatto causale. Il fatto che sul mercato articoli e categorie siano talvolta utilizzati come etichette sintetiche non trasforma la disclosure in una prova. [R16]</w:t>
      </w:r>
    </w:p>
    <w:p>
      <w:r>
        <w:t>La disciplina sui nomi dei fondi aggiunge un ulteriore livello. Le linee guida ESMA sull'uso di termini ESG, sustainability e impact impongono criteri e esclusioni; per l'impiego del termine impact richiedono, tra l'altro, che gli investimenti rilevanti siano effettuati con l'obiettivo di generare un effetto positivo e misurabile accanto a un rendimento finanziario. È un presidio contro affermazioni commerciali eccessive, non un algoritmo che calcola automaticamente quanto beneficio abbia prodotto un singolo euro. [R17]</w:t>
      </w:r>
    </w:p>
    <w:p>
      <w:r>
        <w:t>In concreto, sono almeno quattro i piani da non mescolare: conformità normativa della comunicazione; sostenibilità e gestione dei rischi dell'impresa; intenzionalità dell'investitore; addizionalità e benefici effettivamente osservati. Possono convivere e rafforzarsi, ma un giudizio serio deve conservare la capacità di distinguerli. Un'azienda conforme a standard elevati può avere un risultato sociale limitato; un'iniziativa ad alto impatto può presentare criticità organizzative da correggere; un fondo ben governato può acquistare sul secondario un'attività già positiva senza produrre un cambiamento incrementale dimostrabile.</w:t>
      </w:r>
    </w:p>
    <w:p>
      <w:r>
        <w:t>Per la Space Economy il tema si complica con il dual use. L'esistenza di tecnologie utili anche alla sicurezza nazionale non è di per sé una prova di impatto sociale positivo né negativo. Occorrono classificazione degli impieghi, controlli su utenti e destinazioni, proporzionalità nel trattamento dei dati, diritti e limiti contrattuali. Una tesi finanziaria coerente può riconoscere una tecnologia strategica senza attribuirle automaticamente il bollino filantropico.</w:t>
      </w:r>
    </w:p>
    <w:p>
      <w:pPr>
        <w:pStyle w:val="Heading2"/>
        <w:keepNext/>
      </w:pPr>
      <w:r>
        <w:t>Il lato oscuro della precisione tecnologica</w:t>
      </w:r>
    </w:p>
    <w:p>
      <w:pPr>
        <w:pStyle w:val="Heading3"/>
        <w:keepNext/>
      </w:pPr>
      <w:r>
        <w:t>Cinque rischi interdipendenti applicati a un servizio geospaziale</w:t>
      </w:r>
    </w:p>
    <w:p>
      <w:pPr/>
      <w:r/>
      <w:r>
        <w:t>Il quadro di Islam e Cui distingue rischio di mancato impatto positivo, rischio di effetti negativi, rischio della prova, accountability e legittimità. In un sistema di classificazione dei terreni, un falso positivo può limitare l’accesso al credito; la mancanza di revisione può impedire alla persona colpita di contestare l’errore; dati incompleti possono nascondere l’asimmetria; dichiarazioni troppo ottimistiche possono compromettere la legittimità. Non si tratta di cinque check-list autonome: i rischi si alimentano tra loro [R02].</w:t>
      </w:r>
    </w:p>
    <w:p>
      <w:pPr>
        <w:pStyle w:val="Heading3"/>
        <w:keepNext/>
      </w:pPr>
      <w:r>
        <w:t>Un protocollo di escalation credibile</w:t>
      </w:r>
    </w:p>
    <w:p>
      <w:r>
        <w:t>•  Evento tecnico: algoritmo produce output inattesi o degradazione consistente; sospendere claim di accuratezza e attivare una validazione.</w:t>
      </w:r>
    </w:p>
    <w:p>
      <w:r>
        <w:t>•  Evento sociale: emergono esclusioni o danni plausibili a gruppi identificabili; garantire canale di ricorso e riesame umano.</w:t>
      </w:r>
    </w:p>
    <w:p>
      <w:r>
        <w:t>•  Evento contrattuale: un committente richiede usi incompatibili con le finalità approvate; valutare veto, delimitazione e sospensione.</w:t>
      </w:r>
    </w:p>
    <w:p>
      <w:r>
        <w:t>•  Evento di sicurezza: violazione o uso improprio di dati o segnali; applicare procedure di contenimento, notifica ove prevista e incident review.</w:t>
      </w:r>
    </w:p>
    <w:p>
      <w:r>
        <w:t>•  Evento di legittimità: la comunità non riconosce la finalità o la procedura; integrare consultazione e revisione del progetto, senza sostituire consenso e diritti con comunicazione.</w:t>
      </w:r>
    </w:p>
    <w:p>
      <w:pPr>
        <w:pStyle w:val="Heading3"/>
        <w:keepNext/>
      </w:pPr>
      <w:r>
        <w:t>Perché “dual use” non è una conclusione d’impatto</w:t>
      </w:r>
    </w:p>
    <w:p>
      <w:r>
        <w:t>Una tecnologia dual use può supportare protezione civile e missioni di sicurezza, ma le due categorie di impiego non sono equivalenti sotto il profilo dei benefici e dei rischi. La due diligence deve distinguere il progetto effettivo, gli utilizzatori finali, il possibile riuso, i controlli disponibili e le norme applicabili su esportazione, privacy, sicurezza e diritti fondamentali. L’eventuale qualificazione normativa richiede valutazione specialistica sul prodotto, sulla destinazione e sul contratto. Il dossier non tratta la liceità di un prodotto dual use come implicita conferma del suo impatto positivo.</w:t>
      </w:r>
    </w:p>
    <w:p>
      <w:pPr>
        <w:pStyle w:val="Heading3"/>
        <w:keepNext/>
      </w:pPr>
      <w:r>
        <w:t>Il valore della voce dei destinatari</w:t>
      </w:r>
    </w:p>
    <w:p>
      <w:r>
        <w:t>Un intervento può essere tecnicamente impeccabile e socialmente illegittimo se non considera chi sopporta costi, sorveglianza, errori e limitazioni di accesso. Consultazioni, interviste, accesso a reclami e auditing di impatto distributivo non sono un accessorio reputazionale: alimentano la qualità della valutazione. Nelle zone agricole, costiere o interessate da rischio naturale, le categorie di utenti non devono essere ridotte a un numero aggregato che nasconde vulnerabilità e ostacoli digitali.</w:t>
      </w:r>
    </w:p>
    <w:p>
      <w:pPr>
        <w:pStyle w:val="Heading2"/>
        <w:keepNext/>
      </w:pPr>
      <w:r>
        <w:t>Il paradosso del dual use e della sorveglianza</w:t>
      </w:r>
    </w:p>
    <w:p>
      <w:r>
        <w:t>Non tutto ciò che migliora l’efficienza migliora la giustizia; non tutto ciò che fa risparmiare risorse distribuisce equamente il beneficio. La Space Economy rende visibili tensioni che l’industria tradizionale incontra meno frequentemente: dati transfrontalieri, monitoraggio di territori e individui, servizi dipendenti da infrastrutture critiche, uso civile e militare della medesima tecnologia, impatti ambientali anche nell’infrastruttura orbitale.</w:t>
      </w:r>
    </w:p>
    <w:p>
      <w:r>
        <w:t>L’analisi deve distinguere sostenibilità dell’impresa, impatto positivo del prodotto, condotta responsabile dell’investitore e conformità normativa. Sono quattro piani diversi. La presenza di un framework ESG, o la qualifica di un prodotto d’investimento nell’ambito di regimi di disclosure sulla sostenibilità, non costituisce da sola prova di investor impact. A maggior ragione, un’applicazione dual use non può essere presentata automaticamente come filantropica o umanitaria senza verificare finalità, contesto, clienti e salvaguardie.</w:t>
      </w:r>
    </w:p>
    <w:p>
      <w:r>
        <w:t>Alcuni rischi non si risolvono con un KPI: per esempio l’uso improprio di dati sensibili o la distribuzione asimmetrica di benefici fra territori. Servono regole sui destinatari, policy d’impiego, controllo contrattuale, sicurezza, ascolto degli interessati e possibilità di sospendere il progetto. Anche l’impatto ambientale del ciclo di vita spaziale — produzione, lancio, operatività, fine vita e detriti — appartiene alla valutazione, se materialmente rilevante.</w:t>
      </w:r>
    </w:p>
    <w:p>
      <w:r>
        <w:t>Il marketing d’impatto diventa un costo di governance quando precede la prova. Dichiarare “siamo impact” può orientare la raccolta e il consenso, ma non sostituisce la domanda se il risultato sia addizionale. La reputazione nasce dalla disciplina con cui si espongono limiti, dati mancanti ed esiti negativi.</w:t>
      </w:r>
    </w:p>
    <w:p>
      <w:pPr>
        <w:pStyle w:val="Heading2"/>
        <w:keepNext/>
      </w:pPr>
      <w:r>
        <w:t>Cinque modi eleganti di sbagliare una valutazione</w:t>
      </w:r>
    </w:p>
    <w:p>
      <w:r>
        <w:t>Il primo errore è la selezione dei beneficiari: scegliere territori già attrezzati e dichiarare una penetrazione elevata. Il secondo è la sostituzione di un indicatore alla finalità: vendere più mappe e chiamarle automaticamente resilienza. Il terzo è il rischio morale: un concessionale che protegge il finanziatore dalle perdite può ridurre l'attenzione al rischio sul progetto. Il quarto è quello delle conseguenze impreviste: un algoritmo pensato per l'ambiente può trasformarsi in uno strumento di esclusione o sorveglianza. Il quinto è il più sottile: una narrazione piena di definizioni corrette, ma con nessun soggetto responsabile di ciò che non funziona.</w:t>
      </w:r>
    </w:p>
    <w:p>
      <w:r>
        <w:t>I rimedi sono ordinari e quindi spesso trascurati. Servono denominatori corretti, pubblicazione dei gruppi esclusi, test di bias, diritti di ricorso, tracciabilità delle modifiche ai modelli e un processo di escalation quando i segnali peggiorano. Un comitato impatto non deve essere un reparto di poesia aziendale; deve avere potere di chiedere informazioni, proporre correzioni e, se la soglia di danno è superata, fermare una pratica.</w:t>
      </w:r>
    </w:p>
    <w:p>
      <w:r>
        <w:t>Il punto di fondo è che l'impatto può deteriorarsi anche mentre il fatturato cresce. Se la metrica sociale non entra nelle decisioni industriali e contrattuali, la sua presenza nel reporting serve a raccontare il passato, non a governare il futuro. Non è poco, ma non è ancora impact management.</w:t>
      </w:r>
    </w:p>
    <w:p>
      <w:pPr>
        <w:pStyle w:val="Heading2"/>
        <w:keepNext/>
      </w:pPr>
      <w:r>
        <w:t>Il vero owner dell’indicatore</w:t>
      </w:r>
    </w:p>
    <w:p>
      <w:r>
        <w:t>Un cruscotto diventa governo solo quando ogni numero ha un responsabile, una fonte, una frequenza e una decisione collegata. Senza questo nesso, i comitati ricevono notizie, non governano rischi. Se il modello EO penalizza territori poveri perché possiede più dati sui territori ricchi, non basta riportare una metrica di accuratezza aggregata: occorre ridisegnare raccolta, validazione e processo decisionale.</w:t>
      </w:r>
    </w:p>
    <w:p>
      <w:r>
        <w:t>La review di Islam e Cui organizza 56 pubblicazioni fra 2011 e 2025 in un quadro di rischio che comprende mancato impatto, conseguenze negative, debolezza dell’evidenza, esposizione legale e legittimità. È una tassonomia concettuale, non una distribuzione statistica delle perdite. Ha il merito di ricordare che un progetto può superare i propri KPI e comunque danneggiare persone che il contratto non nominava. [R02]</w:t>
      </w:r>
    </w:p>
    <w:p>
      <w:pPr>
        <w:pStyle w:val="Heading2"/>
        <w:keepNext/>
      </w:pPr>
      <w:r>
        <w:t>L’exit non è il giorno in cui le conseguenze vanno in vacanza</w:t>
      </w:r>
    </w:p>
    <w:p>
      <w:r>
        <w:t>Un nuovo compratore può cancellare programmi gratuiti, alzare prezzi, cambiare condizioni d’uso dei dati e scegliere clienti più redditizi. Se l’impatto dipende dal mantenimento di un diritto di accesso, il diritto deve avere una struttura di continuità: covenant, licenze, governance, pricing policy, rimedi e informativa ex post. Gli Operating Principles for Impact Management collocano espressamente l’impatto anche nella fase di exit. [R07]</w:t>
      </w:r>
    </w:p>
    <w:p>
      <w:pPr>
        <w:pStyle w:val="Heading1"/>
        <w:keepNext/>
      </w:pPr>
      <w:r>
        <w:t>07 / SPACE ECONOMY E IMPATTO</w:t>
      </w:r>
    </w:p>
    <w:p>
      <w:pPr>
        <w:pStyle w:val="Kicker"/>
        <w:spacing w:after="80"/>
      </w:pPr>
      <w:r>
        <w:t>DALL’ORBITA ALLA PERSONA, SENZA SCORCIATOIE</w:t>
      </w:r>
    </w:p>
    <w:p>
      <w:r>
        <w:t>Il satellite ha un talento indiscutibile: vede cose che da terra costerebbe moltissimo vedere. Ma non vota un bilancio comunale, non ripara un argine, non insegna a un piccolo agricoltore a modificare la semina e non garantisce una linea internet a una scuola isolata. Quel lavoro appartiene a imprese downstream, amministrazioni, operatori locali e investitori che scelgono di pagarne la parte più fragile.</w:t>
      </w:r>
    </w:p>
    <w:p>
      <w:r>
        <w:t>È questo il punto in cui Space Economy e venture philanthropy si incontrano: nella distanza fra potenzialità tecnologica e capacità di utilizzo. Non è poco. È, spesso, l’intera differenza tra ricerca che impressiona e servizio che funziona.</w:t>
      </w:r>
    </w:p>
    <w:p>
      <w:pPr>
        <w:pStyle w:val="Heading2"/>
        <w:keepNext/>
      </w:pPr>
      <w:r>
        <w:t>L’infrastruttura non coincide con il beneficio</w:t>
      </w:r>
    </w:p>
    <w:p>
      <w:r>
        <w:t>Il satellite è un’infrastruttura. L’impatto emerge quando dati, segnali o comunicazioni diventano decisioni migliori, servizi accessibili e danni realmente evitati.</w:t>
      </w:r>
    </w:p>
    <w:p>
      <w:r>
        <w:t>Nella Space Economy la distanza fra investimento e beneficio è spesso più lunga che in altri settori. Il capitale finanzia sensori, piattaforme, software, infrastrutture orbitali o capacità di analisi. Il beneficio sociale, invece, passa da utenti terrestri: protezione civile, agricoltori, autorità idriche, strutture sanitarie, governi locali, utility, scuole e organizzazioni umanitarie. Ogni anello può interrompersi. L’immagine perfetta di un’alluvione resta un’immagine se non arriva in tempo a chi può agire.</w:t>
      </w:r>
    </w:p>
    <w:p>
      <w:pPr/>
      <w:r/>
      <w:r>
        <w:t>L’Ufficio delle Nazioni Unite per gli affari dello spazio extra-atmosferico riconosce il ruolo dei dati geospaziali, dell’osservazione della Terra e dei sistemi di navigazione nel supportare gli obiettivi di sviluppo sostenibile [R13]. UN-SPIDER, costituito per sostenere l’accesso e l’uso delle informazioni spaziali lungo l’intero ciclo della gestione delle catastrofi, insiste anche sulla formazione e sul rafforzamento istituzionale [R13]. Sono esempi significativi perché ricordano che tecnologia e capacity-building devono muoversi insieme.</w:t>
      </w:r>
    </w:p>
    <w:p>
      <w:pPr/>
      <w:r/>
      <w:r>
        <w:t>La Banca Mondiale ha documentato nel maggio 2026 l’impiego crescente dell’osservazione terrestre nelle proprie operazioni, affermando che attività supportate da questi dati hanno informato circa 6 miliardi di dollari di finanziamenti allo sviluppo e che sono stati mobilitati ulteriori 16 milioni per scaling, replica e capacità. Il verbo decisivo è “informato”: non significa che quelle somme siano state generate dai satelliti, né che rappresentino benefici sociali attribuibili in termini causali [R10].</w:t>
      </w:r>
    </w:p>
    <w:p>
      <w:pPr/>
      <w:r/>
      <w:r>
        <w:t>Lo stesso discrimine emerge nell’economia europea dei dati. I sensori Copernicus e la ricerca ESA forniscono informazioni per ambiente, agricoltura, risorse e clima; il passaggio all’impatto dipende dalla qualità della traduzione in prodotti usabili e dalle capacità delle organizzazioni che li adottano [13–14]. Una review scientifica pubblicata nel 2026 sulla Earth Observation e lo sviluppo sostenibile sottolinea proprio la necessità di integrare competenze tecniche e funzionali nell’ecosistema [R14].</w:t>
      </w:r>
    </w:p>
    <w:p>
      <w:pPr>
        <w:pStyle w:val="Heading3"/>
        <w:keepNext/>
      </w:pPr>
      <w:r>
        <w:t>Che cosa non equivale a impatto</w:t>
      </w:r>
    </w:p>
    <w:p>
      <w:r>
        <w:t>Un satellite lanciato non dimostra famiglie protette.</w:t>
      </w:r>
    </w:p>
    <w:p>
      <w:r>
        <w:t>Un chilometro quadrato osservato non dimostra biodiversità conservata.</w:t>
      </w:r>
    </w:p>
    <w:p>
      <w:r>
        <w:t>Un alert generato non dimostra un’evacuazione tempestiva.</w:t>
      </w:r>
    </w:p>
    <w:p>
      <w:r>
        <w:t>Un algoritmo più preciso non dimostra una decisione pubblica migliore.</w:t>
      </w:r>
    </w:p>
    <w:p>
      <w:r>
        <w:t>Un investimento in space tech non è automaticamente impact investing.</w:t>
      </w:r>
    </w:p>
    <w:p>
      <w:r>
        <w:t>Per rivendicare impatto occorre seguire la filiera causale: dato grezzo → informazione validata → accesso effettivo → decisione o comportamento → risultato per persone e ambiente → confronto con quanto sarebbe accaduto altrimenti. Se si misurano soltanto i primi due anelli, bisogna chiamarli output tecnici, non outcome sociali.</w:t>
      </w:r>
    </w:p>
    <w:p>
      <w:pPr>
        <w:pStyle w:val="Heading2"/>
        <w:keepNext/>
      </w:pPr>
      <w:r>
        <w:t>La philanthropy nello spazio: non serve acquistare razzi</w:t>
      </w:r>
    </w:p>
    <w:p>
      <w:pPr>
        <w:pStyle w:val="Heading3"/>
        <w:keepNext/>
      </w:pPr>
      <w:r>
        <w:t>La filantropia spaziale non consiste nel pagare satelliti</w:t>
      </w:r>
    </w:p>
    <w:p>
      <w:pPr/>
      <w:r/>
      <w:r>
        <w:t>Un grande programma orbitale può essere un investimento industriale indispensabile senza essere un intervento filantropico. La venture philanthropy trova spesso il suo spazio più utile nella conversione delle capacità esistenti in servizi utilizzati da soggetti che non possono pagarne il costo iniziale. Con dati Copernicus liberamente accessibili, la scarsità non coincide necessariamente con la materia prima informativa: si concentra nella capacità di interpretare, integrare e trasformare quel dato in una decisione. L’accesso gratuito ai dati non elimina il costo del processo decisionale [R11, R11].</w:t>
      </w:r>
    </w:p>
    <w:p>
      <w:r>
        <w:t>Per distinguere una proposta filantropica da un sussidio industriale si pongono almeno quattro domande. L’utente finale ha un bisogno misurabile e un deficit di accesso? Il bene presenta esternalità positive non remunerate o caratteristiche di bene pubblico? La specifica attività non sarebbe finanziata tempestivamente da un cliente o investitore commerciale? È identificabile un percorso credibile di adozione duratura? In mancanza di risposte, la parola “philanthropy” rischia di diventare un’etichetta gentile per una spesa industriale.</w:t>
      </w:r>
    </w:p>
    <w:p>
      <w:pPr>
        <w:pStyle w:val="Heading3"/>
        <w:keepNext/>
      </w:pPr>
      <w:r>
        <w:t>Otto funzioni filantropiche plausibili nello spazio</w:t>
      </w:r>
    </w:p>
    <w:p>
      <w:pPr>
        <w:pStyle w:val="Heading3"/>
        <w:keepNext/>
      </w:pPr>
      <w:r>
        <w:t>A chi dovrebbe andare il grant?</w:t>
      </w:r>
    </w:p>
    <w:p>
      <w:r>
        <w:t>L’impresa tecnologica è soltanto uno dei possibili destinatari. In molti casi il beneficiario più addizionale del grant è un soggetto intermedio: un’università che standardizza metodi di verifica; un ente territoriale che deve cambiare procedure; un’organizzazione civica che aiuta le comunità a comprendere i dati; un soggetto collettivo che costruisce strumenti interoperabili; una fondazione che sostiene acquisti condivisi. Il criterio di selezione non è il fascino della tecnologia ma la localizzazione concreta del collo di bottiglia.</w:t>
      </w:r>
    </w:p>
    <w:p>
      <w:r>
        <w:t>In un ecosistema efficiente il venture philanthropy manager può finanziare test e apprendimento, l’impresa può vendere servizi scalabili, l’amministrazione può acquistare soltanto prestazioni utili, il capitale privato può remunerarsi dove esistono flussi commerciali. Confondere ruoli e controparti alza il costo di transazione e rende impossibile riconoscere la responsabilità di ciascuno.</w:t>
      </w:r>
    </w:p>
    <w:p>
      <w:pPr>
        <w:pStyle w:val="Heading2"/>
        <w:keepNext/>
      </w:pPr>
      <w:r>
        <w:t>Otto mercati, otto prove diverse</w:t>
      </w:r>
    </w:p>
    <w:p>
      <w:pPr>
        <w:pStyle w:val="Heading3"/>
        <w:keepNext/>
      </w:pPr>
      <w:r>
        <w:t>Clima e rischio idrogeologico</w:t>
      </w:r>
    </w:p>
    <w:p>
      <w:pPr/>
      <w:r/>
      <w:r>
        <w:t>La leva potenziale più forte non è la risoluzione dell’immagine ma l’integrazione nelle procedure di protezione civile: esposizione delle persone, priorità per gli interventi, comunicazione accessibile, infrastrutture di evacuazione. Il Copernicus Emergency Management Service fornisce prodotti di mappatura rapida per assistere la gestione delle emergenze; l’esistenza di un’attivazione documenta disponibilità informativa, non l’ammontare del danno evitato [R11].</w:t>
      </w:r>
    </w:p>
    <w:p>
      <w:r>
        <w:t>Beneficiari: residenti in aree alluvionali, operatori locali, utenti di strutture sensibili. Metriche: tempo dall’acquisizione all’adozione operativa; quota di enti che modifica un protocollo; correttezza dei falsi positivi e negativi; copertura di territori svantaggiati; disponibilità dopo l’evento. Controfattuale: procedure esistenti, previsioni meteo, reti idrometriche e pratiche già in essere.</w:t>
      </w:r>
    </w:p>
    <w:p>
      <w:pPr>
        <w:pStyle w:val="Heading3"/>
        <w:keepNext/>
      </w:pPr>
      <w:r>
        <w:t>Agricoltura, acqua e food security</w:t>
      </w:r>
    </w:p>
    <w:p>
      <w:r>
        <w:t>EO e GNSS possono orientare irrigazione, gestione del suolo, produttività e accesso a servizi agronomici. Il rischio distributivo è evidente: aziende grandi possiedono competenze e macchinari per utilizzare gli indici vegetazionali; piccoli produttori possono ricevere la stessa immagine senza poter agire. Un modello filantropico potrebbe pagare la consulenza cooperativa e la validazione in campo, lasciando al mercato i servizi avanzati per grandi clienti. La metrica corretta non è l’ettaro osservato ma il cambiamento verificabile nell’uso della risorsa e nella resilienza dei redditi, tenendo conto della variabilità climatica.</w:t>
      </w:r>
    </w:p>
    <w:p>
      <w:pPr>
        <w:pStyle w:val="Heading3"/>
        <w:keepNext/>
      </w:pPr>
      <w:r>
        <w:t>Foreste, biodiversità, legalità economica</w:t>
      </w:r>
    </w:p>
    <w:p>
      <w:r>
        <w:t>L’osservazione satellitare può segnalare cambiamenti della copertura forestale e supportare controlli. Ma segnalare una possibile violazione non equivale a prevenire deforestazione; occorrono capacità di intervento, diritti di uso del suolo, verifica delle segnalazioni e tutela dei soggetti locali. C’è anche un rischio di falsi positivi che possono danneggiare piccoli operatori. I grant per sistemi di reclamo, verifica indipendente e accessibilità delle informazioni possono essere più addizionali di un ulteriore classificatore automatico.</w:t>
      </w:r>
    </w:p>
    <w:p>
      <w:pPr>
        <w:pStyle w:val="Heading3"/>
        <w:keepNext/>
      </w:pPr>
      <w:r>
        <w:t>Salute, qualità dell’aria e città</w:t>
      </w:r>
    </w:p>
    <w:p>
      <w:r>
        <w:t>Sensori, dati atmosferici, temperatura superficiale, mobilità e geolocalizzazione possono sostenere piani urbani di adattamento. Occorre distinguere correlazioni spaziali da effetti sanitari dimostrati. Il fatto che un quartiere disponga di una mappa del calore non prova una riduzione dei ricoveri; il nesso passa attraverso riqualificazione degli spazi, percorsi sanitari, avvisi, comportamenti e investimenti pubblici. Un buon progetto di impact finanzia anche i collegamenti che permettono al dato di diventare politica attuata.</w:t>
      </w:r>
    </w:p>
    <w:p>
      <w:pPr>
        <w:pStyle w:val="Heading3"/>
        <w:keepNext/>
      </w:pPr>
      <w:r>
        <w:t>Telecomunicazioni satellitari e inclusione</w:t>
      </w:r>
    </w:p>
    <w:p>
      <w:r>
        <w:t>La copertura satellitare può contribuire alla continuità di comunicazioni in zone isolate e durante crisi. Non è sinonimo di inclusione digitale: servono prezzi accessibili, terminali, energia, competenze, servizi locali e qualità stabile. L’outcome non è il numero teorico di persone “coperte” dal segnale, ma la possibilità effettiva di utilizzare servizi essenziali e di comunicare quando le reti terrestri non sono disponibili. La due diligence deve includere privacy, gestione delle identità e rischio di controllo sui destinatari.</w:t>
      </w:r>
    </w:p>
    <w:p>
      <w:pPr>
        <w:pStyle w:val="Heading3"/>
        <w:keepNext/>
      </w:pPr>
      <w:r>
        <w:t>Infrastrutture critiche e manutenzione predittiva</w:t>
      </w:r>
    </w:p>
    <w:p>
      <w:r>
        <w:t>Analisi satellitari e ground motion possono aiutare a identificare deformazioni e anomalie. Il beneficio sociale dipende da processi di ispezione, manutenzione e investimento. Un fornitore può vantare un numero crescente di asset monitorati, mentre il gestore posticipa gli interventi per vincoli di bilancio: in quel caso l’output è reale ma l’impatto atteso resta ipotetico. La valutazione deve esaminare atti di manutenzione, interventi tempestivi ed eventi evitati con metodologie prudenti.</w:t>
      </w:r>
    </w:p>
    <w:p>
      <w:pPr>
        <w:pStyle w:val="Heading3"/>
        <w:keepNext/>
      </w:pPr>
      <w:r>
        <w:t>Economia del mare e comunità costiere</w:t>
      </w:r>
    </w:p>
    <w:p>
      <w:r>
        <w:t>Navi, acque, habitat costieri e attività ittiche sono osservabili con diversi strumenti spaziali. Le applicazioni possono orientare sicurezza, tutela degli ecosistemi e gestione delle risorse. Il rischio è che migliori capacità di controllo siano usate senza meccanismi di partecipazione, o che i benefici siano catturati soltanto da grandi attori. Un disegno di philanthropy dovrebbe prevedere accesso e capacità per comunità locali, oltre a meccanismi verificabili di consultazione e contestazione.</w:t>
      </w:r>
    </w:p>
    <w:p>
      <w:pPr>
        <w:pStyle w:val="Heading3"/>
        <w:keepNext/>
      </w:pPr>
      <w:r>
        <w:t>Orbita e sostenibilità della catena upstream</w:t>
      </w:r>
    </w:p>
    <w:p>
      <w:r>
        <w:t>Anche gli asset che non forniscono direttamente servizi sociali richiedono un’analisi delle esternalità: materiali, energia, cicli produttivi, emissioni e detriti, rischio collisioni, fine vita, concentrazione delle capacità. Non è corretto usare un ipotetico beneficio ambientale del downstream per azzerare senza analisi le esternalità upstream. I due piani si rendicontano separatamente e, dove possibile, con analisi del ciclo di vita e valutazione di materialità.</w:t>
      </w:r>
    </w:p>
    <w:p>
      <w:pPr>
        <w:pStyle w:val="Heading2"/>
        <w:keepNext/>
      </w:pPr>
      <w:r>
        <w:t>Dal dato gratuito al servizio pagato: l’economia dell’ultimo miglio</w:t>
      </w:r>
    </w:p>
    <w:p>
      <w:r>
        <w:t>Una missione di osservazione può mettere a disposizione dati aperti a costo marginale ridotto per l'utente. Questo abbassa una barriera di ingresso enorme, ma non azzera i costi della catena. Si pagano acquisizione e pulizia dei dati complementari, cloud, validazione locale, integrazione informatica, assistenza, aggiornamento delle competenze e responsabilità contrattuale per la qualità. La disponibilità gratuita della materia prima non rende gratuito il servizio industriale: anche l'acqua pubblica richiede una rete per arrivare al rubinetto.</w:t>
      </w:r>
    </w:p>
    <w:p>
      <w:r>
        <w:t>Per la finanza d'impatto questo significa riconoscere diversi fallimenti di mercato. Il primo è informativo: il cliente non sa valutare un servizio che ancora non possiede. Il secondo è di coordinamento: numerosi enti potrebbero beneficiare di un'infrastruttura comune, ma nessuno ha mandato per acquistare per tutti. Il terzo è distributivo: chi ha più bisogno del servizio può essere il meno solvibile. Il quarto è temporale: il beneficio di evitare una perdita futura non coincide con un flusso di ricavi immediato.</w:t>
      </w:r>
    </w:p>
    <w:p>
      <w:r>
        <w:t>Una filantropia sofisticata non deve coprire tutte queste lacune con la stessa soluzione. Può finanziare standard aperti e validazioni nel primo caso, modelli di acquisto aggregato nel secondo, accesso calmierato nel terzo, o una struttura di rischio paziente nel quarto. Quando il mercato diventa sostenibile, il grant può arretrare. Quando il beneficio resta strutturalmente pubblico, la sostenibilità potrebbe coincidere con un finanziamento istituzionale permanente.</w:t>
      </w:r>
    </w:p>
    <w:p>
      <w:r>
        <w:t>Il prodotto finanziario nasce quindi dall'economia del problema. E il problema, nello spazio, tende spesso a trovarsi molto lontano dall'orbita.</w:t>
      </w:r>
    </w:p>
    <w:p>
      <w:pPr>
        <w:pStyle w:val="Heading2"/>
        <w:keepNext/>
      </w:pPr>
      <w:r>
        <w:t>Telecomunicazioni satellitari: copertura nominale e accesso reale</w:t>
      </w:r>
    </w:p>
    <w:p>
      <w:r>
        <w:t>Un segnale che passa sopra una comunità non coincide con una connessione utilizzabile. Servono terminali, energia, costi compatibili con i redditi, sicurezza informatica, manutenzione e servizi effettivamente desiderati dagli utenti. Un fondo può misurare abbonamenti attivi, tempi di disponibilità e ricavi. Per sostenere una tesi di inclusione deve anche osservare la continuità del servizio, il prezzo come quota del reddito, chi resta escluso e se la connettività ha rimosso un vincolo su istruzione, salute o attività economiche.</w:t>
      </w:r>
    </w:p>
    <w:p>
      <w:r>
        <w:t>L'effetto non è automatico: in certi contesti un collegamento satellitare può offrire ridondanza a una rete già funzionante; in altri è l'unica infrastruttura realistica. L'addizionalità dipende dalla seconda differenza, non dalla potenza del segnale. Inoltre un servizio essenziale può esporre a problemi di dipendenza da un unico fornitore. La struttura contrattuale e la portabilità diventano dunque parte della metrica sociale.</w:t>
      </w:r>
    </w:p>
    <w:p>
      <w:pPr>
        <w:pStyle w:val="Heading2"/>
        <w:keepNext/>
      </w:pPr>
      <w:r>
        <w:t>Foreste e carbonio: osservare non equivale a certificare</w:t>
      </w:r>
    </w:p>
    <w:p>
      <w:r>
        <w:t>La vista satellitare può riconoscere cambiamenti della copertura vegetale, sostenere controlli indipendenti e rendere meno opache alcune catene di fornitura. Non misura però da sola tutte le dimensioni della biodiversità, non risolve la questione dei diritti fondiari e non dimostra automaticamente che un progetto abbia evitato emissioni rispetto a un controfattuale realistico. Un indicatore spaziale utile può convivere con una certificazione ambientale debole.</w:t>
      </w:r>
    </w:p>
    <w:p>
      <w:r>
        <w:t>Il valore pubblico aumenta quando il monitoraggio è integrato con verifiche territoriali, dati amministrativi, partecipazione delle comunità e regole trasparenti per contestare errori. La finanza può acquistare nuove capacità di osservazione; il risultato sociale dipende da come queste capacità entrano nei rapporti di potere e nei mercati reali.</w:t>
      </w:r>
    </w:p>
    <w:p>
      <w:pPr>
        <w:pStyle w:val="Heading2"/>
        <w:keepNext/>
      </w:pPr>
      <w:r>
        <w:t>Filiere e persone: il triangolo da tenere in vista</w:t>
      </w:r>
    </w:p>
    <w:p>
      <w:r>
        <w:t>C’è un livello upstream, quello del satellite, del payload, della sua elettronica e delle operazioni. C’è un livello downstream, nel quale i dati vengono integrati in software e servizi. E infine c’è la decisione di un soggetto reale: protezione civile, consorzio irriguo, utility, impresa logistica, ospedale, autorità portuale. Una politica pubblica può finanziare legittimamente i primi due livelli per ragioni industriali o strategiche. Una dichiarazione di impatto sociale richiede però di dimostrare l’effetto sul terzo e sui suoi destinatari.</w:t>
      </w:r>
    </w:p>
    <w:p>
      <w:pPr>
        <w:pStyle w:val="Heading2"/>
        <w:keepNext/>
      </w:pPr>
      <w:r>
        <w:t>La catena del valore space-enabled e il suo punto di rottura</w:t>
      </w:r>
    </w:p>
    <w:p>
      <w:r>
        <w:t>La catena più frequente è osservazione → processamento → informazione → integrazione nel flusso di lavoro → decisione → intervento → risultato. Ogni freccia è una possibilità di perdita. Se manca una capacità amministrativa, nessuno firma il contratto; se manca interoperabilità, il dato resta isolato; se le mappe arrivano dopo la scadenza operativa, il servizio è tecnicamente corretto ma economicamente inutile. Se manca una valutazione ex post, il beneficiario diventa invisibile proprio nel momento in cui la relazione finanziaria celebra il successo.</w:t>
      </w:r>
    </w:p>
    <w:p>
      <w:pPr>
        <w:pStyle w:val="Heading2"/>
        <w:keepNext/>
      </w:pPr>
      <w:r>
        <w:t>Chi possiede il dato e chi incassa il dividendo?</w:t>
      </w:r>
    </w:p>
    <w:p>
      <w:r>
        <w:t>La disponibilità di dati aperti ha creato un'opportunità economica straordinaria. Ma la catena dei diritti non si ferma al dataset di partenza. Le piattaforme aggiungono modelli, dati raccolti sul terreno, informazioni di clienti pubblici, annotazioni e processi decisionali. È lungo questa catena che emergono potere contrattuale, obblighi di sicurezza, proprietà intellettuale e barriere all'ingresso.</w:t>
      </w:r>
    </w:p>
    <w:p>
      <w:r>
        <w:t>Per le piccole amministrazioni, la questione non è filosofica. Se un fornitore conserva in forma non portabile gli storici delle alluvioni, le procedure interne e i modelli di rischio personalizzati, il rinnovo di un contratto può diventare quasi obbligato. Il bene pubblico inizialmente osservabile da tutti si trasforma così in una dipendenza negoziale. Viceversa, standard aperti, export dei dati, auditabilità e interfacce documentate possono consentire concorrenza a valle senza distruggere la remunerazione del servizio.</w:t>
      </w:r>
    </w:p>
    <w:p>
      <w:r>
        <w:t>Il finanziatore ha una scelta economica: può premiare la chiusura dell'ecosistema per proteggere margini e multipli, oppure cercare differenziazione su affidabilità, assistenza, sicurezza e capacità di integrare informazioni. Non esiste una risposta unica. Esiste però l'obbligo di dire chi sopporta il costo del lock-in e se questo costo è coerente con l'impatto dichiarato.</w:t>
      </w:r>
    </w:p>
    <w:p>
      <w:r>
        <w:t>La stessa domanda riguarda la formazione dei modelli di intelligenza artificiale. Una classificazione accurata per i terreni ben mappati può peggiorare le stime nelle aree più vulnerabili. È necessario registrare la qualità della ground truth, le differenze territoriali, le versioni dei modelli e il diritto di contestare una decisione automatizzata. Il dato non è neutrale solo perché arriva dall'alto: entra in istituzioni con risorse, incentivi e poteri distribuiti in modo diverso.</w:t>
      </w:r>
    </w:p>
    <w:p>
      <w:pPr>
        <w:pStyle w:val="Heading2"/>
        <w:keepNext/>
      </w:pPr>
      <w:r>
        <w:t>Il costo della qualità dei dati e la redistribuzione dell’errore</w:t>
      </w:r>
    </w:p>
    <w:p>
      <w:r>
        <w:t>Cloud cover, revisit time, rumore radar, risoluzione, affidabilità del modello e disponibilità di dati in situ cambiano il prezzo e la qualità dell’osservazione. Ma il rischio sociale nasce quando l’incertezza tecnica viene trasferita, senza spiegazioni, all’autorità che decide. Per questo una soluzione di impact-driven Earth observation deve comprendere metadati, incertezza, versionamento, validazione locale e strumenti di contestazione del risultato. Altrimenti l’algoritmo è sofisticato; la responsabilità molto meno.</w:t>
      </w:r>
    </w:p>
    <w:p>
      <w:pPr>
        <w:pStyle w:val="Heading1"/>
        <w:keepNext/>
      </w:pPr>
      <w:r>
        <w:t>08 / EUROPA E ITALIA</w:t>
      </w:r>
    </w:p>
    <w:p>
      <w:pPr>
        <w:pStyle w:val="Kicker"/>
        <w:spacing w:after="80"/>
      </w:pPr>
      <w:r>
        <w:t>DOVE I DATI DIVENTANO INFRASTRUTTURE PUBBLICHE</w:t>
      </w:r>
    </w:p>
    <w:p>
      <w:r>
        <w:t>L’Europa è ricca di satelliti, competenze scientifiche, regole e programmi. La ricchezza di risorse, tuttavia, non risolve automaticamente l’ultimo miglio: trasformare dati accessibili in acquisti, manutenzione, fiducia e pratiche organizzative. Non manca soltanto un dataset. Manca spesso qualcuno che abbia budget, mandato e capacità di usarlo.</w:t>
      </w:r>
    </w:p>
    <w:p>
      <w:pPr>
        <w:pStyle w:val="Heading2"/>
        <w:keepNext/>
      </w:pPr>
      <w:r>
        <w:t>Programmi osservati: Copernicus, EUSPA, ESA e Banca Mondiale</w:t>
      </w:r>
    </w:p>
    <w:p>
      <w:pPr>
        <w:pStyle w:val="Heading3"/>
        <w:keepNext/>
      </w:pPr>
      <w:r/>
      <w:r>
        <w:t>EUSPA: dimensione dei mercati e limiti delle inferenze sociali</w:t>
      </w:r>
    </w:p>
    <w:p>
      <w:pPr/>
      <w:r/>
      <w:r>
        <w:t>La documentazione EUSPA disponibile sul mercato GNSS e EO quantifica dispositivi, servizi e ricavi in termini di domanda e utilizzo. È una fonte di mercato, non una misura del beneficio sociale o della contribuzione di un investitore: una crescita delle vendite EO può accompagnarsi ad applicazioni utili, senza dimostrare per ciò solo risultati ambientali o distributivi. [R09]</w:t>
      </w:r>
    </w:p>
    <w:p>
      <w:r>
        <w:t>Una simile espansione consente di formulare una domanda di allocazione del capitale: quali servizi cresceranno perché acquistati da clienti solvibili, e quali benefici ad alta rilevanza sociale resteranno scoperti? Lo spazio filantropico si colloca prevalentemente nel secondo insieme. L’aumento atteso dei ricavi dimostra domanda di mercato, non che la domanda più urgente abbia trovato un pagatore.</w:t>
      </w:r>
    </w:p>
    <w:p>
      <w:pPr>
        <w:pStyle w:val="Heading3"/>
        <w:keepNext/>
      </w:pPr>
      <w:r>
        <w:t>Copernicus EMS: dal dato gratuito al compito della pubblica amministrazione</w:t>
      </w:r>
    </w:p>
    <w:p>
      <w:pPr/>
      <w:r/>
      <w:r>
        <w:t>Il Copernicus Emergency Management Service produce informazioni geospaziali tempestive per emergenze e assistenza umanitaria. Nel settembre 2025 una attivazione per alluvioni in Lombardia documentava la richiesta di mappe di estensione e danni. L’attivazione illustra che un’infrastruttura informativa può essere disponibile quando il territorio è in difficoltà, ma non dimostra da sola che gli enti abbiano reagito prima né che il danno economico sia stato minore [R11].</w:t>
      </w:r>
    </w:p>
    <w:p>
      <w:r>
        <w:t>Un progetto di valutazione da costruire su una simile infrastruttura dovrebbe collegare timestamp della mappa, protocollo dell’ente, chiamate e atti di protezione civile, configurazione degli asset esposti ed evidenze ex post. È un percorso di ricerca plausibile, non una conclusione già riportata dall’agenzia.</w:t>
      </w:r>
    </w:p>
    <w:p>
      <w:pPr>
        <w:pStyle w:val="Heading3"/>
        <w:keepNext/>
      </w:pPr>
      <w:r>
        <w:t>ESA – Banca Mondiale: portare EO nei processi di sviluppo</w:t>
      </w:r>
    </w:p>
    <w:p>
      <w:pPr/>
      <w:r/>
      <w:r>
        <w:t>Secondo una comunicazione ESA del maggio 2025, la collaborazione con la Banca Mondiale ha supportato, dal 2008, 78 progetti in oltre 67 Paesi mediante 40 milioni di euro di risorse degli Stati membri ESA. Sono quantità di attività e partnership dichiarate dal programma; non consentono, da sole, un calcolo di addizionalità o di benefici finali [R10].</w:t>
      </w:r>
    </w:p>
    <w:p>
      <w:r>
        <w:t>Il punto interessante per la venture philanthropy è il modello di domanda: agenzie multilaterali e soggetti attuatori non acquisiscono immagini per possederle, ma per integrare informazioni nel ciclo di progettazione, appalto, controllo e valutazione. Un soggetto filantropico può finanziare la disponibilità di competenze presso la controparte locale e protocolli di valutazione indipendente, così da preservare il potere decisionale nel territorio beneficiario.</w:t>
      </w:r>
    </w:p>
    <w:p>
      <w:pPr>
        <w:pStyle w:val="Heading3"/>
        <w:keepNext/>
      </w:pPr>
      <w:r>
        <w:t>NASA SERVIR: capacità istituzionali, non soltanto applicazioni</w:t>
      </w:r>
    </w:p>
    <w:p>
      <w:pPr/>
      <w:r/>
      <w:r>
        <w:t>Una sintesi tecnica NASA del 2025 presenta SERVIR come programma ventennale di collaborazione con bisogni espressi in oltre 50 Paesi, tra cui acqua, agricoltura, rischio naturale e governance delle risorse. Riporta casi come strumenti di flusso idrico e monitoraggio di attività minerarie. È una fonte istituzionale di programma e non una valutazione causalmente indipendente: il suo valore qui è evidenziare che la capacità d’uso locale entra nell’architettura del servizio [R13].</w:t>
      </w:r>
    </w:p>
    <w:p>
      <w:pPr>
        <w:pStyle w:val="Heading2"/>
        <w:keepNext/>
      </w:pPr>
      <w:r>
        <w:t>Il dilemma italiano: produrre eccellenza o comprare risultati</w:t>
      </w:r>
    </w:p>
    <w:p>
      <w:r>
        <w:t>Il sistema italiano può eccellere nella componentistica, nei sottosistemi e nelle missioni, ma la catena dell'impatto richiede una diversa grammatica: compratori pubblici capaci, specifiche interoperabili, domanda aggregata, contratti pluriennali e analisi del beneficio. Una tecnologia straordinaria che non trova una forma d'acquisto è una capacità industriale; non ancora un servizio diffuso.</w:t>
      </w:r>
    </w:p>
    <w:p>
      <w:r>
        <w:t>Per questo il confine tra politica industriale e finanza d'impatto va mantenuto visibile. Finanziare un impianto produttivo può essere necessario per autonomia tecnologica, occupazione qualificata o sicurezza delle forniture; sono obiettivi pubblici meritevoli di una propria misurazione. Presentarli indistintamente come impatto sociale sugli utilizzatori finali impoverisce la discussione e rende più difficile giudicare le priorità di spesa.</w:t>
      </w:r>
    </w:p>
    <w:p>
      <w:r>
        <w:t>Il private equity può intervenire dove esistono aziende profittevoli, clienti, tecnologie proprietarie e opportunità di aggregazione. Il capitale filantropico può sostenere ciò che non passa agevolmente dai conti economici: protocolli di adozione, dati di interesse generale, capacità civiche, alfabetizzazione e strumenti comuni. Il finanziamento pubblico può acquistare stabilmente un servizio quando il beneficio è diffuso e non recuperabile attraverso tariffe. La combinazione è potente proprio se ciascun soggetto svolge il proprio mestiere, senza chiamare tutti «ecosistema» per evitare di attribuire responsabilità.</w:t>
      </w:r>
    </w:p>
    <w:p>
      <w:pPr>
        <w:pStyle w:val="Heading2"/>
        <w:keepNext/>
      </w:pPr>
      <w:r>
        <w:t>Il caso World Bank–ESA: finanza influenzata non significa impatto attribuito</w:t>
      </w:r>
    </w:p>
    <w:p>
      <w:r>
        <w:t>Nel maggio 2026 la Banca Mondiale ha descritto una collaborazione con ESA che, dal 2020, ha sostenuto più di 87 progetti della Banca in circa 70 Paesi, con circa 80 capacità EO applicate. La stessa nota parla di attività EO che hanno informato circa 6 miliardi di dollari di finanza per lo sviluppo e di ulteriori 16 milioni di dollari mobilitati per scala, replica e capacity building. Si tratta di cifre comunicate dal programma e dunque utili per misurarne la penetrazione operativa, non di una valutazione indipendente del danno evitato o del reddito addizionale prodotto. [R10]</w:t>
      </w:r>
    </w:p>
    <w:p>
      <w:r>
        <w:t>La distinzione è decisiva. “Informare” un investimento da sei miliardi è una relazione operativa rilevante; non significa che il satellite abbia generato sei miliardi di benefici sociali. Un buon dossier non sminuisce l’infrastruttura: la colloca esattamente nel punto della catena in cui il suo contributo è documentato.</w:t>
      </w:r>
    </w:p>
    <w:p>
      <w:pPr>
        <w:pStyle w:val="Heading2"/>
        <w:keepNext/>
      </w:pPr>
      <w:r>
        <w:t>Copernicus Emergency Management Service: la cartografia incontra l’emergenza</w:t>
      </w:r>
    </w:p>
    <w:p>
      <w:r>
        <w:t>Il CEMS mette a disposizione prodotti geospaziali per emergenze e valutazioni del rischio, con funzioni di Rapid Mapping e Risk &amp; Recovery Mapping. Il primo può produrre cartografia nelle ore o nei giorni successivi a un’attivazione da parte di un utente autorizzato; il secondo supporta anche preparazione, prevenzione e ricostruzione. La prova istituzionale dell’esistenza del servizio è robusta. Per sostenere la riduzione di perdite serve invece collegare tempi, decisioni effettive e scenari alternativi. [R11]</w:t>
      </w:r>
    </w:p>
    <w:p>
      <w:pPr>
        <w:pStyle w:val="Heading2"/>
        <w:keepNext/>
      </w:pPr>
      <w:r>
        <w:t>Italia: capacità industriali solide, domanda pubblica ancora da trasformare</w:t>
      </w:r>
    </w:p>
    <w:p>
      <w:pPr>
        <w:pStyle w:val="Heading3"/>
        <w:keepNext/>
      </w:pPr>
      <w:r>
        <w:t>Il problema non è inventare altri dati, ma rendere acquistabili le decisioni</w:t>
      </w:r>
    </w:p>
    <w:p>
      <w:r>
        <w:t>L’Europa possiede programmi spaziali, infrastrutture di dati aperti, centri scientifici e imprese downstream. Per le amministrazioni il passaggio più difficile può tuttavia essere operativo: scrivere il capitolato, definire interoperabilità, misurare l’affidabilità, proteggere dati, formare utenti e finanziare la manutenzione. Un intervento filantropico capace di sciogliere questi vincoli può generare un effetto di sistema più credibile di un contributo indifferenziato a una startup che dispone già di clienti e capitali.</w:t>
      </w:r>
    </w:p>
    <w:p>
      <w:r>
        <w:t>In Italia l’approccio potrebbe essere impostato come programma competitivo fra territori e fornitori, con protocolli di valutazione identici ma priorità locali diverse: bacini idrogeologici, incendi boschivi, fragilità costiera, aziende agricole frammentate, infrastrutture e aree interne. La concorrenza tra soluzioni e l’accesso ai dati devono rimanere presidiati; i grant non dovrebbero finanziare posizioni esclusive non necessarie né anticipare vincitori industriali senza motivazione.</w:t>
      </w:r>
    </w:p>
    <w:p>
      <w:pPr>
        <w:pStyle w:val="Heading3"/>
        <w:keepNext/>
      </w:pPr>
      <w:r>
        <w:t>Una facility sperimentale, non un annuncio di nuovo fondo</w:t>
      </w:r>
    </w:p>
    <w:p>
      <w:r>
        <w:t>L’ipotesi del dossier è una facility che finanzia esclusivamente readiness e prova della domanda — adattamento tecnico, supporto agli enti, valutazione e standard — senza dichiararsi fondo né presumere la presenza di partner impegnati. Un consorzio futuro potrebbe avere tre finestre: micro-grant per definizione del bisogno; grant di validazione e procurement-readiness; supporto indipendente di valutazione. Il capitale privato resterebbe libero di investire nelle imprese con normali criteri di rischio e rendimento; nessun grant dovrebbe creare preferenze automatiche per un singolo fondo o gestore.</w:t>
      </w:r>
    </w:p>
    <w:p>
      <w:r>
        <w:t>I fattori critici di implementazione sono trasparenza del processo di selezione, astensione nei conflitti d’interesse, pari trattamento dei concorrenti, salvaguardia dei dati, verifica pubblica e scelta di metriche comprensibili ai cittadini. L’eventuale coinvolgimento di ESA, ASI, università, fondazioni o soggetti finanziari richiederebbe accordi espressi; citarli come possibili categorie di stakeholder non significa che aderiscano all’iniziativa.</w:t>
      </w:r>
    </w:p>
    <w:p>
      <w:pPr>
        <w:pStyle w:val="Heading3"/>
        <w:keepNext/>
      </w:pPr>
      <w:r>
        <w:t>Un cruscotto che consenta alla policy di correggersi</w:t>
      </w:r>
    </w:p>
    <w:p>
      <w:r>
        <w:t>Il successo istituzionale non si misura soltanto sui progetti finanziati. Occorre osservare quanti servizi vengono adottati oltre il pilota, quante amministrazioni mantengono competenze dopo il grant, quali tempi di acquisto sono stati ridotti, quanto capitale privato è davvero incrementale, quali territori restano esclusi e quali strumenti falliscono. Se un programma scopre che il principale vincolo è il personale comunale, il budget successivo dovrebbe spostarsi sulla formazione e sulle procedure anziché moltiplicare gli applicativi.</w:t>
      </w:r>
    </w:p>
    <w:p>
      <w:r>
        <w:t>Per una PMI italiana l’ostacolo non è sempre il costo per entrare in orbita: può essere la difficoltà di vendere un prodotto EO a un acquirente pubblico frammentato, con cicli di procurement inadatti alla sperimentazione e poche metriche condivise sugli outcome. Una fondazione può sostenere la certificazione del dato e la capacità di acquisto; un operatore industriale può assumere il rischio commerciale e costruire scala; un fondo di buyout può aggregare servizi già profittevoli. Confondere questi ruoli produce spesso bandi perfettamente compilati e mercati ancora perfettamente immaturi.</w:t>
      </w:r>
    </w:p>
    <w:p>
      <w:pPr>
        <w:pStyle w:val="Heading2"/>
        <w:keepNext/>
      </w:pPr>
      <w:r>
        <w:t>L’impatto delle competenze: il lavoro nascosto delle PMI</w:t>
      </w:r>
    </w:p>
    <w:p>
      <w:r>
        <w:t>L’infrastruttura dell’impatto ha una supply chain. Ci sono produttori di sensori, software house, integratori, consulenti idrologici, gestori di reti, fornitori di servizi in situ, esperti di cybersecurity e amministrazioni in grado di stipulare contratti. Se un finanziamento supporta soltanto l’ultimo anello spettacolare, la mappa satellitare, e ignora interoperabilità e manutenzione, compra una fotografia non un servizio. Per questo il valore di filiera va analizzato insieme ai diritti sul dato, al mercato dei servizi e alla capacità di trasferire competenze.</w:t>
      </w:r>
    </w:p>
    <w:p>
      <w:pPr>
        <w:pStyle w:val="Heading1"/>
        <w:keepNext/>
      </w:pPr>
      <w:r>
        <w:t>09 / EVIDENZE E VERIFICA</w:t>
      </w:r>
    </w:p>
    <w:p>
      <w:pPr>
        <w:pStyle w:val="Kicker"/>
        <w:spacing w:after="80"/>
      </w:pPr>
      <w:r>
        <w:t>NON BASTA CONTARE: BISOGNA POTER SMENTIRE</w:t>
      </w:r>
    </w:p>
    <w:p>
      <w:r>
        <w:t>Misurare bene è un’attività meno fotogenica di quanto l’industria dell’impatto preferisca ammettere. Significa definire prima l’evento, verificare da dove arriva il dato, accettare una zona di incertezza e pubblicare anche ciò che non ha funzionato. Un indicatore senza base iniziale è una bella cifra sola; due cifre senza controfattuale possono essere una coincidenza ben presentata.</w:t>
      </w:r>
    </w:p>
    <w:p>
      <w:pPr>
        <w:pStyle w:val="Heading2"/>
        <w:keepNext/>
      </w:pPr>
      <w:r>
        <w:t>Perché ogni risultato ha bisogno di un confronto</w:t>
      </w:r>
    </w:p>
    <w:p>
      <w:pPr>
        <w:pStyle w:val="Heading3"/>
        <w:keepNext/>
      </w:pPr>
      <w:r>
        <w:t>La gerarchia della prova è una scelta gestionale</w:t>
      </w:r>
    </w:p>
    <w:p>
      <w:pPr/>
      <w:r/>
      <w:r>
        <w:t>Non ogni progetto richiede uno studio randomizzato. Per il completamento di un dataset può bastare la verifica documentale; per sostenere che un servizio riduca i danni di un’alluvione occorre una prova di qualità ben superiore. Il livello di rigore deve crescere con la materialità dell’affermazione, l’entità delle risorse impiegate, l’esposizione di persone vulnerabili e l’irreversibilità delle conseguenze. La review di Busch e coautori suggerisce prudenza nel passare dall’esistenza di un meccanismo alla sua efficacia accertata [R01].</w:t>
      </w:r>
    </w:p>
    <w:p>
      <w:pPr>
        <w:pStyle w:val="Heading3"/>
        <w:keepNext/>
      </w:pPr>
      <w:r>
        <w:t>La questione del controfattuale si sdoppia</w:t>
      </w:r>
    </w:p>
    <w:p>
      <w:r>
        <w:t>Prima domanda: senza la soluzione dell’impresa, che cosa sarebbe successo ai destinatari? Seconda domanda: senza questo specifico investitore o fondatore, che cosa avrebbe fatto l’impresa? La prima riguarda l’enterprise contribution; la seconda l’investor contribution. Un sensore può evitare un guasto che non si sarebbe prevenuto con una soluzione tradizionale, ma l’impresa avrebbe potuto svilupparlo comunque con una linea di credito ordinaria. Viceversa, un capitale paziente può finanziare l’accessibilità in territori marginali anche quando l’efficacia del servizio resta ancora da dimostrare. I due giudizi non devono essere fusi [6–7].</w:t>
      </w:r>
    </w:p>
    <w:p>
      <w:r>
        <w:t>La valutazione deve annotare le alternative effettivamente disponibili al momento della decisione: offerte bancarie, ricavi prospettici, budget pubblici, fornitori concorrenti, progetti già programmati e diritti degli azionisti esistenti. Ricostruire l’alternativa soltanto dopo l’esito positivo è esposto a bias retrospettivo. La disciplina minima è un documento datato prima del finanziamento, aggiornato quando cambiano le condizioni.</w:t>
      </w:r>
    </w:p>
    <w:p>
      <w:pPr>
        <w:pStyle w:val="Heading3"/>
        <w:keepNext/>
      </w:pPr>
      <w:r>
        <w:t>Indicatori che possono ingannare</w:t>
      </w:r>
    </w:p>
    <w:p>
      <w:r>
        <w:t>•  Numero di immagini elaborate: documenta capacità produttiva, non utilità per chi decide.</w:t>
      </w:r>
    </w:p>
    <w:p>
      <w:r>
        <w:t>•  Ettari monitorati: misura la copertura territoriale, non la riduzione del degrado o il miglioramento dei redditi.</w:t>
      </w:r>
    </w:p>
    <w:p>
      <w:r>
        <w:t>•  Capitale mobilitato: documenta partecipazioni finanziarie, non addizionalità né beneficio finale.</w:t>
      </w:r>
    </w:p>
    <w:p>
      <w:r>
        <w:t>•  Utenti registrati: non equivale a uso significativo o a decisioni migliori.</w:t>
      </w:r>
    </w:p>
    <w:p>
      <w:r>
        <w:t>•  SDG associati a un prodotto: indicano un allineamento tematico, non un risultato conseguito.</w:t>
      </w:r>
    </w:p>
    <w:p>
      <w:pPr>
        <w:pStyle w:val="Heading2"/>
        <w:keepNext/>
      </w:pPr>
      <w:r>
        <w:t>MRV: dati orbitali, verifiche a terra, decisioni</w:t>
      </w:r>
    </w:p>
    <w:p>
      <w:pPr>
        <w:pStyle w:val="Heading3"/>
        <w:keepNext/>
      </w:pPr>
      <w:r>
        <w:t>Indicator dictionary: dieci campi minimi</w:t>
      </w:r>
    </w:p>
    <w:p>
      <w:r>
        <w:t>Misurare significa definire prima di osservare. Ogni indicatore deve contenere: nome univoco; unità; evento o condizione osservata; perimetro geografico e temporale; baseline; target e soglia di allarme; fonte e responsabile; frequenza; disaggregazione dei destinatari; limiti e metodo di verifica. L’obiettivo è impedire che due report usino “beneficiari” come sinonimo di popolazione teoricamente esposta al prodotto, numero di account, utenti attivi e persone che hanno effettivamente migliorato una condizione.</w:t>
      </w:r>
    </w:p>
    <w:p>
      <w:pPr>
        <w:pStyle w:val="Heading3"/>
        <w:keepNext/>
      </w:pPr>
      <w:r>
        <w:t>Qualità del dato orbitale e qualità della decisione</w:t>
      </w:r>
    </w:p>
    <w:p>
      <w:r>
        <w:t>La disponibilità di immagini satellitari non elimina limiti legati a nuvolosità, risoluzione temporale, taratura degli algoritmi, qualità della ground truth, ritardi di elaborazione, eterogeneità territoriale e alterazione intenzionale di dati o segnali. Una precisione media elevata può nascondere errori sistematici sui territori meno campionati; una riduzione dei falsi positivi può aumentare i falsi negativi proprio dove l’evento è raro ma il danno atteso è elevato. Gli investitori dovrebbero esigere analisi delle condizioni in cui la tecnologia fallisce, non soltanto il miglior benchmark di laboratorio.</w:t>
      </w:r>
    </w:p>
    <w:p>
      <w:pPr>
        <w:pStyle w:val="Heading3"/>
        <w:keepNext/>
      </w:pPr>
      <w:r>
        <w:t>Il principio di proporzionalità</w:t>
      </w:r>
    </w:p>
    <w:p>
      <w:pPr/>
      <w:r/>
      <w:r>
        <w:t>Una sperimentazione di piccola dimensione può iniziare con un registro decisionale e interviste strutturate; una piattaforma usata per orientare evacuazioni o tutela di comunità vulnerabili esige sistemi più robusti e, quando opportuno, valutazione indipendente. Il costo dell’assurance deve essere messo nel budget originario, non cercato a fine progetto. Si può adottare una scala progressiva: livello 1, verifica output; livello 2, outcome osservato; livello 3, contributo plausibile verificato da fonti plurime; livello 4, identificazione causale con disegno appropriato. La classificazione è una proposta operativa del dossier, non una certificazione [R06, R05].</w:t>
      </w:r>
    </w:p>
    <w:p>
      <w:pPr>
        <w:pStyle w:val="Heading2"/>
        <w:keepNext/>
      </w:pPr>
      <w:r>
        <w:t>Indicatori essenziali, non pareti di dashboard</w:t>
      </w:r>
    </w:p>
    <w:p>
      <w:r>
        <w:t>Un impact dashboard credibile deve evitare l’accumulo di numeri che non parlano fra loro. Serve un piccolo numero di indicatori legati a una teoria del cambiamento e verificati in punti di decisione. Conviene distinguere indicatori di impresa, di utente, di sistema e di contributo del finanziatore. Per ogni metrica il dossier raccomanda: definizione esatta; baseline; periodo; proprietario del dato; fonte; qualità; disaggregazione; ipotesi controfattuale; limiti; soglia di correzione.</w:t>
      </w:r>
    </w:p>
    <w:p>
      <w:r>
        <w:t>Nel mondo spaziale la validazione tecnica non basta. Una buona accuratezza del modello o un’elevata risoluzione del dato costituiscono condizioni per un beneficio, ma non il beneficio. È essenziale documentare adozione, continuità operativa, decisioni modificate e risultati finali; e verificare se il servizio migliori o peggiori l’accesso dei gruppi meno forti.</w:t>
      </w:r>
    </w:p>
    <w:p>
      <w:r>
        <w:t>Qual è il bisogno concreto e chi lo ha qualificato come prioritario?</w:t>
      </w:r>
    </w:p>
    <w:p>
      <w:r>
        <w:t>Chi riceve il beneficio e chi può essere escluso o danneggiato?</w:t>
      </w:r>
    </w:p>
    <w:p>
      <w:r>
        <w:t>Qual è la catena completa dal capitale al risultato finale?</w:t>
      </w:r>
    </w:p>
    <w:p>
      <w:r>
        <w:t>Quali alternative tecniche e finanziarie sarebbero state disponibili?</w:t>
      </w:r>
    </w:p>
    <w:p>
      <w:r>
        <w:t>Che cosa cambierà per l’impresa grazie a questo investitore?</w:t>
      </w:r>
    </w:p>
    <w:p>
      <w:r>
        <w:t>Quali metriche sono output, quali outcome e quali stime controfattuali?</w:t>
      </w:r>
    </w:p>
    <w:p>
      <w:r>
        <w:t>Chi possiede dati, diritti di accesso, proprietà intellettuale e modelli?</w:t>
      </w:r>
    </w:p>
    <w:p>
      <w:r>
        <w:t>Esistono rischi dual use, privacy, cybersecurity, export control o sorveglianza?</w:t>
      </w:r>
    </w:p>
    <w:p>
      <w:r>
        <w:t>Il progetto è finanziariamente sostenibile e per quale soggetto pagatore?</w:t>
      </w:r>
    </w:p>
    <w:p>
      <w:r>
        <w:t>Quale qualità di evidenza supporta ogni claim e quali lacune restano?</w:t>
      </w:r>
    </w:p>
    <w:p>
      <w:r>
        <w:t>Quali condizioni farebbero ridimensionare, correggere o interrompere l’intervento?</w:t>
      </w:r>
    </w:p>
    <w:p>
      <w:r>
        <w:t>Chi verifica ex post, chi paga la verifica e chi può pubblicare risultati negativi?</w:t>
      </w:r>
    </w:p>
    <w:p>
      <w:r>
        <w:t>La scorecard è un framework proposto dal dossier, non una metodologia certificata né un rating di terza parte.</w:t>
      </w:r>
    </w:p>
    <w:p>
      <w:pPr>
        <w:pStyle w:val="Heading2"/>
        <w:keepNext/>
      </w:pPr>
      <w:r>
        <w:t>Il costo del non intervento e quello di intervenire male</w:t>
      </w:r>
    </w:p>
    <w:p>
      <w:r>
        <w:t>Una stima del beneficio atteso può partire dal danno medio annuo in un territorio, dalla popolazione esposta e dal costo delle misure di risposta. Ma nessuna di queste cifre misura, da sola, la quota evitata grazie a un nuovo sistema informativo. Fra previsione e beneficio entrano la sensibilità degli allarmi, la capacità di mobilitare persone e mezzi, il tempo di anticipo, la copertura territoriale e il comportamento dei destinatari.</w:t>
      </w:r>
    </w:p>
    <w:p>
      <w:r>
        <w:t>Si consideri un servizio che, in uno scenario ipotetico, riduca di un'ora il tempo per rendere disponibili informazioni operative. L'ora guadagnata è un miglioramento del processo, verificabile confrontando registri e timestamp. Stimare il valore monetario del beneficio richiede ulteriori passaggi: quali decisioni sono cambiate in quell'ora, quali asset erano a rischio, quanta parte del danno era evitabile e quali risorse sono state effettivamente impiegate. Se il sistema produce anche falsi allarmi, occorre contabilizzare costi inutili, perdita di fiducia e opportunità sottratte ad altre attività.</w:t>
      </w:r>
    </w:p>
    <w:p>
      <w:r>
        <w:t>L'economics dell'impatto non è dunque una tabella che moltiplica automaticamente popolazione raggiunta e beneficio unitario. È un modello con distribuzioni, variabili sensibili, scenari e verifica degli scostamenti. Le istituzioni e gli investitori possono preferire un range robusto di beneficio plausibile a una cifra singola straordinariamente precisa ma fondata su ipotesi inverificabili.</w:t>
      </w:r>
    </w:p>
    <w:p>
      <w:r>
        <w:t>Questa disciplina cambia il modo di interpretare anche il costo del non intervento. Dire che un pericolo esiste non dimostra che una specifica tecnologia sia l'acquisto migliore per affrontarlo. Occorre confrontarla con interventi non spaziali, dall'aggiornamento delle procedure locali alle opere infrastrutturali, e chiarire complementarità e sostituibilità. L'impatto non si ottiene vincendo una gara di superiorità tecnologica, ma scegliendo il mix che produce i risultati più solidi per euro speso.</w:t>
      </w:r>
    </w:p>
    <w:p>
      <w:pPr>
        <w:pStyle w:val="Heading2"/>
        <w:keepNext/>
      </w:pPr>
      <w:r>
        <w:t>Il controfattuale deve essere una storia migliore, non una fantasia peggiore</w:t>
      </w:r>
    </w:p>
    <w:p>
      <w:r>
        <w:t>Uno dei modi più facili per costruire un grande impatto è descrivere un mondo senza intervento come un deserto di inefficienza e disinteresse. Nel mondo reale, invece, imprese concorrenti possono innovare, i bilanci pubblici cambiano, i dati diventano disponibili attraverso altre missioni, e le autorità modificano pratiche per ragioni indipendenti dal progetto. Il controfattuale è credibile solo se prende sul serio queste alternative.</w:t>
      </w:r>
    </w:p>
    <w:p>
      <w:r>
        <w:t>Quando si osserva un comune che, dopo l'adozione di un servizio satellitare, riduce i tempi di risposta a un evento, il confronto deve considerare anche investimenti in infrastrutture, formazione degli operatori, clima effettivo e altre fonti informative. In casi semplici può bastare una valutazione documentale dei processi. In casi più ambiziosi, quando si attribuiscono danni evitati o benefici economici, servono disegni comparativi più robusti, dati sufficienti e analisi della sensibilità delle ipotesi.</w:t>
      </w:r>
    </w:p>
    <w:p>
      <w:r>
        <w:t>La robustezza non nasce dall'uso di un metodo sofisticato in sé. Nasce dalla congruenza fra la domanda e la prova. Non si chiede un trial randomizzato per sapere se una piattaforma è stata consegnata; non si usa una ricevuta di consegna per dire quante persone siano state salvate. Sono due errori opposti e altrettanto comodi.</w:t>
      </w:r>
    </w:p>
    <w:p>
      <w:r>
        <w:t>C'è infine il tema degli effetti trasferiti. Un'impresa può ridurre un'emissione in una fase della filiera spostandone il costo su un fornitore; una piattaforma può rendere più efficiente il monitoraggio dei territori solvibili lasciando più scoperti quelli poveri; un algoritmo può ridurre il tempo medio di decisione peggiorando la qualità per una minoranza. Un sistema di MRV responsabile deve cercare anche questi spostamenti, non soltanto le curve che salgono.</w:t>
      </w:r>
    </w:p>
    <w:p>
      <w:pPr>
        <w:pStyle w:val="Heading2"/>
        <w:keepNext/>
      </w:pPr>
      <w:r>
        <w:t>Una matrice minima della prova</w:t>
      </w:r>
    </w:p>
    <w:tbl>
      <w:tblPr>
        <w:tblW w:type="auto" w:w="0"/>
        <w:jc w:val="center"/>
        <w:tblLayout w:type="fixed"/>
        <w:tblLook w:firstColumn="1" w:firstRow="1" w:lastColumn="0" w:lastRow="0" w:noHBand="0" w:noVBand="1" w:val="04A0"/>
      </w:tblPr>
      <w:tblGrid>
        <w:gridCol w:w="3043"/>
        <w:gridCol w:w="3043"/>
        <w:gridCol w:w="3043"/>
      </w:tblGrid>
      <w:tr>
        <w:tc>
          <w:tcPr>
            <w:tcW w:type="dxa" w:w="2268"/>
            <w:vAlign w:val="center"/>
            <w:tcMar>
              <w:top w:w="92" w:type="dxa"/>
              <w:start w:w="92" w:type="dxa"/>
              <w:bottom w:w="92" w:type="dxa"/>
              <w:end w:w="92" w:type="dxa"/>
            </w:tcMar>
            <w:shd w:fill="EAF0F5"/>
          </w:tcPr>
          <w:p>
            <w:pPr>
              <w:spacing w:after="0" w:line="269" w:lineRule="auto"/>
            </w:pPr>
            <w:r>
              <w:rPr>
                <w:b/>
                <w:color w:val="172A45"/>
                <w:sz w:val="16"/>
              </w:rPr>
              <w:t>Unità di osservazione</w:t>
            </w:r>
          </w:p>
        </w:tc>
        <w:tc>
          <w:tcPr>
            <w:tcW w:type="dxa" w:w="3005"/>
            <w:vAlign w:val="center"/>
            <w:tcMar>
              <w:top w:w="92" w:type="dxa"/>
              <w:start w:w="92" w:type="dxa"/>
              <w:bottom w:w="92" w:type="dxa"/>
              <w:end w:w="92" w:type="dxa"/>
            </w:tcMar>
            <w:shd w:fill="EAF0F5"/>
          </w:tcPr>
          <w:p>
            <w:pPr>
              <w:spacing w:after="0" w:line="269" w:lineRule="auto"/>
            </w:pPr>
            <w:r>
              <w:rPr>
                <w:b/>
                <w:color w:val="172A45"/>
                <w:sz w:val="16"/>
              </w:rPr>
              <w:t>Che cosa prova</w:t>
            </w:r>
          </w:p>
        </w:tc>
        <w:tc>
          <w:tcPr>
            <w:tcW w:type="dxa" w:w="3855"/>
            <w:vAlign w:val="center"/>
            <w:tcMar>
              <w:top w:w="92" w:type="dxa"/>
              <w:start w:w="92" w:type="dxa"/>
              <w:bottom w:w="92" w:type="dxa"/>
              <w:end w:w="92" w:type="dxa"/>
            </w:tcMar>
            <w:shd w:fill="EAF0F5"/>
          </w:tcPr>
          <w:p>
            <w:pPr>
              <w:spacing w:after="0" w:line="269" w:lineRule="auto"/>
            </w:pPr>
            <w:r>
              <w:rPr>
                <w:b/>
                <w:color w:val="172A45"/>
                <w:sz w:val="16"/>
              </w:rPr>
              <w:t>Che cosa NON prova</w:t>
            </w:r>
          </w:p>
        </w:tc>
      </w:tr>
      <w:tr>
        <w:tc>
          <w:tcPr>
            <w:tcW w:type="dxa" w:w="2268"/>
            <w:vAlign w:val="center"/>
            <w:tcMar>
              <w:top w:w="92" w:type="dxa"/>
              <w:start w:w="92" w:type="dxa"/>
              <w:bottom w:w="92" w:type="dxa"/>
              <w:end w:w="92" w:type="dxa"/>
            </w:tcMar>
          </w:tcPr>
          <w:p>
            <w:pPr>
              <w:spacing w:after="0" w:line="269" w:lineRule="auto"/>
            </w:pPr>
            <w:r>
              <w:rPr>
                <w:b w:val="0"/>
                <w:color w:val="28313A"/>
                <w:sz w:val="16"/>
              </w:rPr>
              <w:t>Satellite, scena, segnale</w:t>
            </w:r>
          </w:p>
        </w:tc>
        <w:tc>
          <w:tcPr>
            <w:tcW w:type="dxa" w:w="3005"/>
            <w:vAlign w:val="center"/>
            <w:tcMar>
              <w:top w:w="92" w:type="dxa"/>
              <w:start w:w="92" w:type="dxa"/>
              <w:bottom w:w="92" w:type="dxa"/>
              <w:end w:w="92" w:type="dxa"/>
            </w:tcMar>
          </w:tcPr>
          <w:p>
            <w:pPr>
              <w:spacing w:after="0" w:line="269" w:lineRule="auto"/>
            </w:pPr>
            <w:r>
              <w:rPr>
                <w:b w:val="0"/>
                <w:color w:val="28313A"/>
                <w:sz w:val="16"/>
              </w:rPr>
              <w:t>Capacità fisica e disponibilità tecnica</w:t>
            </w:r>
          </w:p>
        </w:tc>
        <w:tc>
          <w:tcPr>
            <w:tcW w:type="dxa" w:w="3855"/>
            <w:vAlign w:val="center"/>
            <w:tcMar>
              <w:top w:w="92" w:type="dxa"/>
              <w:start w:w="92" w:type="dxa"/>
              <w:bottom w:w="92" w:type="dxa"/>
              <w:end w:w="92" w:type="dxa"/>
            </w:tcMar>
          </w:tcPr>
          <w:p>
            <w:pPr>
              <w:spacing w:after="0" w:line="269" w:lineRule="auto"/>
            </w:pPr>
            <w:r>
              <w:rPr>
                <w:b w:val="0"/>
                <w:color w:val="28313A"/>
                <w:sz w:val="16"/>
              </w:rPr>
              <w:t>Uso efficace o beneficio finale</w:t>
            </w:r>
          </w:p>
        </w:tc>
      </w:tr>
      <w:tr>
        <w:tc>
          <w:tcPr>
            <w:tcW w:type="dxa" w:w="2268"/>
            <w:vAlign w:val="center"/>
            <w:tcMar>
              <w:top w:w="92" w:type="dxa"/>
              <w:start w:w="92" w:type="dxa"/>
              <w:bottom w:w="92" w:type="dxa"/>
              <w:end w:w="92" w:type="dxa"/>
            </w:tcMar>
          </w:tcPr>
          <w:p>
            <w:pPr>
              <w:spacing w:after="0" w:line="269" w:lineRule="auto"/>
            </w:pPr>
            <w:r>
              <w:rPr>
                <w:b w:val="0"/>
                <w:color w:val="28313A"/>
                <w:sz w:val="16"/>
              </w:rPr>
              <w:t>Mappa consegnata</w:t>
            </w:r>
          </w:p>
        </w:tc>
        <w:tc>
          <w:tcPr>
            <w:tcW w:type="dxa" w:w="3005"/>
            <w:vAlign w:val="center"/>
            <w:tcMar>
              <w:top w:w="92" w:type="dxa"/>
              <w:start w:w="92" w:type="dxa"/>
              <w:bottom w:w="92" w:type="dxa"/>
              <w:end w:w="92" w:type="dxa"/>
            </w:tcMar>
          </w:tcPr>
          <w:p>
            <w:pPr>
              <w:spacing w:after="0" w:line="269" w:lineRule="auto"/>
            </w:pPr>
            <w:r>
              <w:rPr>
                <w:b w:val="0"/>
                <w:color w:val="28313A"/>
                <w:sz w:val="16"/>
              </w:rPr>
              <w:t>Prodotto informativo reso disponibile</w:t>
            </w:r>
          </w:p>
        </w:tc>
        <w:tc>
          <w:tcPr>
            <w:tcW w:type="dxa" w:w="3855"/>
            <w:vAlign w:val="center"/>
            <w:tcMar>
              <w:top w:w="92" w:type="dxa"/>
              <w:start w:w="92" w:type="dxa"/>
              <w:bottom w:w="92" w:type="dxa"/>
              <w:end w:w="92" w:type="dxa"/>
            </w:tcMar>
          </w:tcPr>
          <w:p>
            <w:pPr>
              <w:spacing w:after="0" w:line="269" w:lineRule="auto"/>
            </w:pPr>
            <w:r>
              <w:rPr>
                <w:b w:val="0"/>
                <w:color w:val="28313A"/>
                <w:sz w:val="16"/>
              </w:rPr>
              <w:t>Decisione effettivamente modificata</w:t>
            </w:r>
          </w:p>
        </w:tc>
      </w:tr>
      <w:tr>
        <w:tc>
          <w:tcPr>
            <w:tcW w:type="dxa" w:w="2268"/>
            <w:vAlign w:val="center"/>
            <w:tcMar>
              <w:top w:w="92" w:type="dxa"/>
              <w:start w:w="92" w:type="dxa"/>
              <w:bottom w:w="92" w:type="dxa"/>
              <w:end w:w="92" w:type="dxa"/>
            </w:tcMar>
          </w:tcPr>
          <w:p>
            <w:pPr>
              <w:spacing w:after="0" w:line="269" w:lineRule="auto"/>
            </w:pPr>
            <w:r>
              <w:rPr>
                <w:b w:val="0"/>
                <w:color w:val="28313A"/>
                <w:sz w:val="16"/>
              </w:rPr>
              <w:t>Decisione anticipata</w:t>
            </w:r>
          </w:p>
        </w:tc>
        <w:tc>
          <w:tcPr>
            <w:tcW w:type="dxa" w:w="3005"/>
            <w:vAlign w:val="center"/>
            <w:tcMar>
              <w:top w:w="92" w:type="dxa"/>
              <w:start w:w="92" w:type="dxa"/>
              <w:bottom w:w="92" w:type="dxa"/>
              <w:end w:w="92" w:type="dxa"/>
            </w:tcMar>
          </w:tcPr>
          <w:p>
            <w:pPr>
              <w:spacing w:after="0" w:line="269" w:lineRule="auto"/>
            </w:pPr>
            <w:r>
              <w:rPr>
                <w:b w:val="0"/>
                <w:color w:val="28313A"/>
                <w:sz w:val="16"/>
              </w:rPr>
              <w:t>Cambiamento nel processo decisionale</w:t>
            </w:r>
          </w:p>
        </w:tc>
        <w:tc>
          <w:tcPr>
            <w:tcW w:type="dxa" w:w="3855"/>
            <w:vAlign w:val="center"/>
            <w:tcMar>
              <w:top w:w="92" w:type="dxa"/>
              <w:start w:w="92" w:type="dxa"/>
              <w:bottom w:w="92" w:type="dxa"/>
              <w:end w:w="92" w:type="dxa"/>
            </w:tcMar>
          </w:tcPr>
          <w:p>
            <w:pPr>
              <w:spacing w:after="0" w:line="269" w:lineRule="auto"/>
            </w:pPr>
            <w:r>
              <w:rPr>
                <w:b w:val="0"/>
                <w:color w:val="28313A"/>
                <w:sz w:val="16"/>
              </w:rPr>
              <w:t>Danno evitato in misura esatta</w:t>
            </w:r>
          </w:p>
        </w:tc>
      </w:tr>
      <w:tr>
        <w:tc>
          <w:tcPr>
            <w:tcW w:type="dxa" w:w="2268"/>
            <w:vAlign w:val="center"/>
            <w:tcMar>
              <w:top w:w="92" w:type="dxa"/>
              <w:start w:w="92" w:type="dxa"/>
              <w:bottom w:w="92" w:type="dxa"/>
              <w:end w:w="92" w:type="dxa"/>
            </w:tcMar>
          </w:tcPr>
          <w:p>
            <w:pPr>
              <w:spacing w:after="0" w:line="269" w:lineRule="auto"/>
            </w:pPr>
            <w:r>
              <w:rPr>
                <w:b w:val="0"/>
                <w:color w:val="28313A"/>
                <w:sz w:val="16"/>
              </w:rPr>
              <w:t>Servizio adottato da enti</w:t>
            </w:r>
          </w:p>
        </w:tc>
        <w:tc>
          <w:tcPr>
            <w:tcW w:type="dxa" w:w="3005"/>
            <w:vAlign w:val="center"/>
            <w:tcMar>
              <w:top w:w="92" w:type="dxa"/>
              <w:start w:w="92" w:type="dxa"/>
              <w:bottom w:w="92" w:type="dxa"/>
              <w:end w:w="92" w:type="dxa"/>
            </w:tcMar>
          </w:tcPr>
          <w:p>
            <w:pPr>
              <w:spacing w:after="0" w:line="269" w:lineRule="auto"/>
            </w:pPr>
            <w:r>
              <w:rPr>
                <w:b w:val="0"/>
                <w:color w:val="28313A"/>
                <w:sz w:val="16"/>
              </w:rPr>
              <w:t>Penetrazione e sostenibilità organizzativa</w:t>
            </w:r>
          </w:p>
        </w:tc>
        <w:tc>
          <w:tcPr>
            <w:tcW w:type="dxa" w:w="3855"/>
            <w:vAlign w:val="center"/>
            <w:tcMar>
              <w:top w:w="92" w:type="dxa"/>
              <w:start w:w="92" w:type="dxa"/>
              <w:bottom w:w="92" w:type="dxa"/>
              <w:end w:w="92" w:type="dxa"/>
            </w:tcMar>
          </w:tcPr>
          <w:p>
            <w:pPr>
              <w:spacing w:after="0" w:line="269" w:lineRule="auto"/>
            </w:pPr>
            <w:r>
              <w:rPr>
                <w:b w:val="0"/>
                <w:color w:val="28313A"/>
                <w:sz w:val="16"/>
              </w:rPr>
              <w:t>Addizionalità specifica del finanziatore</w:t>
            </w:r>
          </w:p>
        </w:tc>
      </w:tr>
      <w:tr>
        <w:tc>
          <w:tcPr>
            <w:tcW w:type="dxa" w:w="2268"/>
            <w:vAlign w:val="center"/>
            <w:tcMar>
              <w:top w:w="92" w:type="dxa"/>
              <w:start w:w="92" w:type="dxa"/>
              <w:bottom w:w="92" w:type="dxa"/>
              <w:end w:w="92" w:type="dxa"/>
            </w:tcMar>
          </w:tcPr>
          <w:p>
            <w:pPr>
              <w:spacing w:after="0" w:line="269" w:lineRule="auto"/>
            </w:pPr>
            <w:r>
              <w:rPr>
                <w:b w:val="0"/>
                <w:color w:val="28313A"/>
                <w:sz w:val="16"/>
              </w:rPr>
              <w:t>Beneficio stimato con controfattuale</w:t>
            </w:r>
          </w:p>
        </w:tc>
        <w:tc>
          <w:tcPr>
            <w:tcW w:type="dxa" w:w="3005"/>
            <w:vAlign w:val="center"/>
            <w:tcMar>
              <w:top w:w="92" w:type="dxa"/>
              <w:start w:w="92" w:type="dxa"/>
              <w:bottom w:w="92" w:type="dxa"/>
              <w:end w:w="92" w:type="dxa"/>
            </w:tcMar>
          </w:tcPr>
          <w:p>
            <w:pPr>
              <w:spacing w:after="0" w:line="269" w:lineRule="auto"/>
            </w:pPr>
            <w:r>
              <w:rPr>
                <w:b w:val="0"/>
                <w:color w:val="28313A"/>
                <w:sz w:val="16"/>
              </w:rPr>
              <w:t>Evidenza ragionata di outcome/impact</w:t>
            </w:r>
          </w:p>
        </w:tc>
        <w:tc>
          <w:tcPr>
            <w:tcW w:type="dxa" w:w="3855"/>
            <w:vAlign w:val="center"/>
            <w:tcMar>
              <w:top w:w="92" w:type="dxa"/>
              <w:start w:w="92" w:type="dxa"/>
              <w:bottom w:w="92" w:type="dxa"/>
              <w:end w:w="92" w:type="dxa"/>
            </w:tcMar>
          </w:tcPr>
          <w:p>
            <w:pPr>
              <w:spacing w:after="0" w:line="269" w:lineRule="auto"/>
            </w:pPr>
            <w:r>
              <w:rPr>
                <w:b w:val="0"/>
                <w:color w:val="28313A"/>
                <w:sz w:val="16"/>
              </w:rPr>
              <w:t>Certezza assoluta, validità universale</w:t>
            </w:r>
          </w:p>
        </w:tc>
      </w:tr>
    </w:tbl>
    <w:p>
      <w:pPr>
        <w:spacing w:after="20"/>
      </w:pPr>
    </w:p>
    <w:p>
      <w:pPr>
        <w:pStyle w:val="Heading2"/>
        <w:keepNext/>
      </w:pPr>
      <w:r>
        <w:t>Cosa pubblicare quando la prova è ancora incompleta</w:t>
      </w:r>
    </w:p>
    <w:p>
      <w:r>
        <w:t>Pubblicare una limitazione non è un’autodenuncia: è un segnale di qualità. Un rapporto che espone assunzioni, campioni, limiti geografici, modifiche dei protocolli e date di acquisizione dei dati permette a un lettore competente di contestarlo. E un dossier che può essere contestato è infinitamente più utile di una brochure che pretende di essere ammirata. La trasparenza dovrebbe riguardare anche effetti negativi, controversie e gruppi non raggiunti.</w:t>
      </w:r>
    </w:p>
    <w:p>
      <w:pPr>
        <w:pStyle w:val="Heading2"/>
        <w:keepNext/>
      </w:pPr>
      <w:r>
        <w:t>Chi verifica l’impatto del verificatore?</w:t>
      </w:r>
    </w:p>
    <w:p>
      <w:r>
        <w:t>La validazione esterna è utile ma non miracolosa. Occorre osservare che cosa ha verificato: correttezza del processo di raccolta, presenza di un sistema di gestione, accuratezza di singoli indicatori o identificazione causale di benefici finali. Sono quattro incarichi diversi. Anche gli Operating Principles distinguono disclosure e verifica periodica dei sistemi di gestione da una presunta certificazione universale del beneficio. [R07]</w:t>
      </w:r>
    </w:p>
    <w:p>
      <w:pPr>
        <w:pStyle w:val="Heading1"/>
        <w:keepNext/>
      </w:pPr>
      <w:r>
        <w:t>10 / CONCLUSIONE E REPERTORIO</w:t>
      </w:r>
    </w:p>
    <w:p>
      <w:pPr>
        <w:pStyle w:val="Kicker"/>
        <w:spacing w:after="80"/>
      </w:pPr>
      <w:r>
        <w:t>LA PROVA NON HA BISOGNO DI EFFETTI SPECIALI</w:t>
      </w:r>
    </w:p>
    <w:p>
      <w:r>
        <w:t>La finanza sa misurare il rendimento con una certa precisione; sull’impatto, invece, il suo vocabolario corre spesso più veloce degli strumenti. Non è un motivo per rinunciare. È un motivo per scegliere una domanda più severa e quindi più utile. Una decisione coerente deve sapere qual è il problema, quale risorsa mancava, quale potere è stato esercitato, quale cambiamento ne è derivato e quali alternative erano realisticamente disponibili.</w:t>
      </w:r>
    </w:p>
    <w:p>
      <w:r>
        <w:t>Nel venture philanthropy conta sbloccare ciò che il mercato non sa o non vuole ancora finanziare. Nell’impact investing conta dimostrare un contributo che non sia semplicemente l’acquisto di una storia già positiva. Nel private equity conta utilizzare diritti e capacità operative per cambiare sul serio un’azienda, senza confondere il controllo con il merito. Nella Space Economy conta l’ultimo miglio: dal dato alle decisioni, e dalle decisioni a una condizione di vita migliore.</w:t>
      </w:r>
    </w:p>
    <w:p>
      <w:r>
        <w:t>Si può avere un eccellente fondo e non generare impatto addizionale. Si può finanziare un servizio pubblico con grant senza creare un solo multiplo finanziario e produrre valore reale. Si può avere un satellite perfetto e un’amministrazione incapace di utilizzarlo. La grammatica è diversa; il criterio di giudizio, però, è sorprendentemente semplice: quale differenza verificabile abbiamo contribuito a produrre?</w:t>
      </w:r>
    </w:p>
    <w:p>
      <w:pPr>
        <w:pStyle w:val="Pull"/>
        <w:ind w:left="238" w:right="170"/>
        <w:pBdr>
          <w:left w:val="single" w:sz="18" w:color="9E7035"/>
        </w:pBdr>
      </w:pPr>
      <w:r>
        <w:t>IL GIUDIZIO DEL DOSSIER   Meno dichiarazioni solenni sull’impatto. Più documenti che colleghino capitale, poteri, decisioni, beneficiari e risultati; più capacità di riconoscere ciò che resta incerto.</w:t>
      </w:r>
    </w:p>
    <w:p>
      <w:pPr>
        <w:pStyle w:val="Heading2"/>
        <w:keepNext/>
      </w:pPr>
      <w:r>
        <w:t>Glossario essenziale</w:t>
      </w:r>
    </w:p>
    <w:p>
      <w:r>
        <w:t>Addizionalità dell’investitore  —  Differenza plausibilmente attribuibile al contributo finanziario o operativo dell’investitore rispetto a uno scenario credibile alternativo.</w:t>
      </w:r>
    </w:p>
    <w:p>
      <w:r>
        <w:t>Beneficio finale  —  Miglioramento effettivo di una condizione sociale o ambientale, distinto dall’attività realizzata e dal servizio erogato.</w:t>
      </w:r>
    </w:p>
    <w:p>
      <w:r>
        <w:t>Blended finance  —  Impiego strategico di risorse di sviluppo o filantropiche per mobilitare capitale commerciale, a condizioni di addizionalità.</w:t>
      </w:r>
    </w:p>
    <w:p>
      <w:r>
        <w:t>Concessionalità  —  Condizione di prezzo, rischio o rendimento più favorevole di quella di mercato, giustificabile per una specifica finalità.</w:t>
      </w:r>
    </w:p>
    <w:p>
      <w:r>
        <w:t>Controfattuale  —  Stima ragionata di ciò che sarebbe accaduto senza l’intervento, con incertezza e condizioni dichiarate.</w:t>
      </w:r>
    </w:p>
    <w:p>
      <w:r>
        <w:t>Downstream spaziale  —  Insieme delle applicazioni, analisi, piattaforme e servizi che trasformano segnali o immagini in prodotti utilizzabili.</w:t>
      </w:r>
    </w:p>
    <w:p>
      <w:r>
        <w:t>Grant catalitico  —  Contributo non rimborsabile che sblocca capacità o passaggi necessari ad altri flussi di risorse o servizi stabili.</w:t>
      </w:r>
    </w:p>
    <w:p>
      <w:r>
        <w:t>Impact risk  —  Possibilità che il beneficio atteso non si verifichi, generi danni o non sia sufficientemente provato, con ulteriori rischi giuridici e reputazionali.</w:t>
      </w:r>
    </w:p>
    <w:p>
      <w:r>
        <w:t>MRV  —  Measurement, Reporting and Verification; insieme di definizioni, processi e verifiche per rendere tracciabili indicatori e affermazioni.</w:t>
      </w:r>
    </w:p>
    <w:p>
      <w:r>
        <w:t>Stewardship  —  Uso sistematico dei diritti e delle capacità dell’investitore per modificare condotte e decisioni dell’impresa.</w:t>
      </w:r>
    </w:p>
    <w:p>
      <w:pPr>
        <w:pStyle w:val="Heading2"/>
        <w:keepNext/>
      </w:pPr>
      <w:r>
        <w:t>Fonti e approfondimenti</w:t>
      </w:r>
    </w:p>
    <w:p>
      <w:pPr>
        <w:pStyle w:val="Mini"/>
        <w:spacing w:after="30"/>
      </w:pPr>
      <w:r>
        <w:t>Ricognizione aggiornata al 16 ottobre 2026. Nel corpo, i richiami [Rxx] rinviano ai documenti qui elencati. Testi accademici e report di settore hanno status epistemico differente; le descrizioni di programma provengono dall’ente promotore, salvo diversa indicazione.</w:t>
      </w:r>
    </w:p>
    <w:p>
      <w:pPr>
        <w:pStyle w:val="Source"/>
        <w:spacing w:after="30"/>
      </w:pPr>
      <w:r>
        <w:t>[R01]  Busch, T.; Bernard-Rau, B.; Prüßner, E.; Freiling, J. (2026). Impact investing: a literature review of investor impact mechanisms and their impact potential. Management Review Quarterly. Review: 52 contributi, 33 accademici e 19 di settore.</w:t>
      </w:r>
    </w:p>
    <w:p>
      <w:pPr>
        <w:pStyle w:val="Mini"/>
        <w:spacing w:after="30"/>
      </w:pPr>
      <w:hyperlink r:id="rId11">
        <w:r>
          <w:rPr>
            <w:color w:val="25517A"/>
            <w:u w:val="single"/>
            <w:sz w:val="16"/>
          </w:rPr>
          <w:t>https://doi.org/10.1007/s11301-026-00640-x</w:t>
        </w:r>
      </w:hyperlink>
    </w:p>
    <w:p>
      <w:pPr>
        <w:pStyle w:val="Source"/>
        <w:spacing w:after="30"/>
      </w:pPr>
      <w:r>
        <w:t>[R02]  Islam, S. M.; Cui, C. (2026). Impact Risk in Impact Investing: A Systematic Review of Impact Risk Drivers and Governance Responses and an Integrative Framework. Business Strategy and the Environment. Prima pubblicazione: 24 agosto 2026.</w:t>
      </w:r>
    </w:p>
    <w:p>
      <w:pPr>
        <w:pStyle w:val="Mini"/>
        <w:spacing w:after="30"/>
      </w:pPr>
      <w:hyperlink r:id="rId12">
        <w:r>
          <w:rPr>
            <w:color w:val="25517A"/>
            <w:u w:val="single"/>
            <w:sz w:val="16"/>
          </w:rPr>
          <w:t>https://doi.org/10.1002/bse.71473</w:t>
        </w:r>
      </w:hyperlink>
    </w:p>
    <w:p>
      <w:pPr>
        <w:pStyle w:val="Source"/>
        <w:spacing w:after="30"/>
      </w:pPr>
      <w:r>
        <w:t>[R03]  Impact Europe (15 ottobre 2026). Catalytic Grant-making in Europe: presentazione dell’indagine di settore; 350 inviti, 27 risposte, 20 organizzazioni considerate nel dato sui grant.</w:t>
      </w:r>
    </w:p>
    <w:p>
      <w:pPr>
        <w:pStyle w:val="Mini"/>
        <w:spacing w:after="30"/>
      </w:pPr>
      <w:hyperlink r:id="rId13">
        <w:r>
          <w:rPr>
            <w:color w:val="25517A"/>
            <w:u w:val="single"/>
            <w:sz w:val="16"/>
          </w:rPr>
          <w:t>https://www.impacteurope.net/insights/catalytic-grantmaking-survey</w:t>
        </w:r>
      </w:hyperlink>
    </w:p>
    <w:p>
      <w:pPr>
        <w:pStyle w:val="Source"/>
        <w:spacing w:after="30"/>
      </w:pPr>
      <w:r>
        <w:t>[R04]  World Economic Forum–GAEA (20 agosto 2026). The Catalysts: Unlocking Markets for a Sustainable Economy. White paper di casi e proposte, non valutazione d’impatto indipendente.</w:t>
      </w:r>
    </w:p>
    <w:p>
      <w:pPr>
        <w:pStyle w:val="Mini"/>
        <w:spacing w:after="30"/>
      </w:pPr>
      <w:hyperlink r:id="rId14">
        <w:r>
          <w:rPr>
            <w:color w:val="25517A"/>
            <w:u w:val="single"/>
            <w:sz w:val="16"/>
          </w:rPr>
          <w:t>https://www.weforum.org/publications/the-catalysts-unlocking-markets-for-a-sustainable-economy/</w:t>
        </w:r>
      </w:hyperlink>
    </w:p>
    <w:p>
      <w:pPr>
        <w:pStyle w:val="Source"/>
        <w:spacing w:after="30"/>
      </w:pPr>
      <w:r>
        <w:t>[R05]  Impact Frontiers. Five Dimensions of Impact: What, Who, How Much, Contribution, Risk. Quadro concettuale.</w:t>
      </w:r>
    </w:p>
    <w:p>
      <w:pPr>
        <w:pStyle w:val="Mini"/>
        <w:spacing w:after="30"/>
      </w:pPr>
      <w:hyperlink r:id="rId15">
        <w:r>
          <w:rPr>
            <w:color w:val="25517A"/>
            <w:u w:val="single"/>
            <w:sz w:val="16"/>
          </w:rPr>
          <w:t>https://impactfrontiers.org/norms/five-dimensions-of-impact/</w:t>
        </w:r>
      </w:hyperlink>
    </w:p>
    <w:p>
      <w:pPr>
        <w:pStyle w:val="Source"/>
        <w:spacing w:after="30"/>
      </w:pPr>
      <w:r>
        <w:t>[R06]  Impact Frontiers. Investor Contribution Strategies. Distinzione tra performance dell’impresa e contributo degli investitori.</w:t>
      </w:r>
    </w:p>
    <w:p>
      <w:pPr>
        <w:pStyle w:val="Mini"/>
        <w:spacing w:after="30"/>
      </w:pPr>
      <w:hyperlink r:id="rId16">
        <w:r>
          <w:rPr>
            <w:color w:val="25517A"/>
            <w:u w:val="single"/>
            <w:sz w:val="16"/>
          </w:rPr>
          <w:t>https://impactfrontiers.org/norms/investor-contribution/</w:t>
        </w:r>
      </w:hyperlink>
    </w:p>
    <w:p>
      <w:pPr>
        <w:pStyle w:val="Source"/>
        <w:spacing w:after="30"/>
      </w:pPr>
      <w:r>
        <w:t>[R07]  Operating Principles for Impact Management. The Nine Principles. Framework volontario lungo il ciclo di investimento, compresi exit e disclosure.</w:t>
      </w:r>
    </w:p>
    <w:p>
      <w:pPr>
        <w:pStyle w:val="Mini"/>
        <w:spacing w:after="30"/>
      </w:pPr>
      <w:hyperlink r:id="rId17">
        <w:r>
          <w:rPr>
            <w:color w:val="25517A"/>
            <w:u w:val="single"/>
            <w:sz w:val="16"/>
          </w:rPr>
          <w:t>https://www.impactprinciples.org/9-principleS</w:t>
        </w:r>
      </w:hyperlink>
    </w:p>
    <w:p>
      <w:pPr>
        <w:pStyle w:val="Source"/>
        <w:spacing w:after="30"/>
      </w:pPr>
      <w:r>
        <w:t>[R08]  OECD (2025). OECD DAC Blended Finance Guidance 2025, Principle 2. Addizionalità, mobilitazione commerciale, minimizzazione della concessionalità.</w:t>
      </w:r>
    </w:p>
    <w:p>
      <w:pPr>
        <w:pStyle w:val="Mini"/>
        <w:spacing w:after="30"/>
      </w:pPr>
      <w:hyperlink r:id="rId18">
        <w:r>
          <w:rPr>
            <w:color w:val="25517A"/>
            <w:u w:val="single"/>
            <w:sz w:val="16"/>
          </w:rPr>
          <w:t>https://www.oecd.org/en/publications/oecd-dac-blended-finance-guidance-2025_e4a13d2c-en/full-report/principle-2-design-blended-finance-to-increase-the-mobilisation-of-commercial-finance_996e5e2d.html</w:t>
        </w:r>
      </w:hyperlink>
    </w:p>
    <w:p>
      <w:pPr>
        <w:pStyle w:val="Source"/>
        <w:spacing w:after="30"/>
      </w:pPr>
      <w:r>
        <w:t>[R09]  EUSPA. EO and GNSS Market Report: metodologia di valutazione dei mercati della navigazione e dell’osservazione della Terra. Ricavi di mercato distinti da outcome sociali.</w:t>
      </w:r>
    </w:p>
    <w:p>
      <w:pPr>
        <w:pStyle w:val="Mini"/>
        <w:spacing w:after="30"/>
      </w:pPr>
      <w:hyperlink r:id="rId19">
        <w:r>
          <w:rPr>
            <w:color w:val="25517A"/>
            <w:u w:val="single"/>
            <w:sz w:val="16"/>
          </w:rPr>
          <w:t>https://www.euspa.europa.eu/eu-space-programme/eu-space-market-and-users/gnss-and-eo-market-report</w:t>
        </w:r>
      </w:hyperlink>
    </w:p>
    <w:p>
      <w:pPr>
        <w:pStyle w:val="Source"/>
        <w:spacing w:after="30"/>
      </w:pPr>
      <w:r>
        <w:t>[R10]  World Bank; ESA (8 maggio 2026). From satellite data to development finance: how Earth observation is scaling impact across World Bank operations. Cifre riportate dagli autori istituzionali.</w:t>
      </w:r>
    </w:p>
    <w:p>
      <w:pPr>
        <w:pStyle w:val="Mini"/>
        <w:spacing w:after="30"/>
      </w:pPr>
      <w:hyperlink r:id="rId20">
        <w:r>
          <w:rPr>
            <w:color w:val="25517A"/>
            <w:u w:val="single"/>
            <w:sz w:val="16"/>
          </w:rPr>
          <w:t>https://blogs.worldbank.org/en/opendata/from-satellite-data-to-development-finance--how-earth-observatio</w:t>
        </w:r>
      </w:hyperlink>
    </w:p>
    <w:p>
      <w:pPr>
        <w:pStyle w:val="Source"/>
        <w:spacing w:after="30"/>
      </w:pPr>
      <w:r>
        <w:t>[R11]  Copernicus Emergency Management Service. Rapid Mapping: documentazione e servizi di attivazione per eventi e aree di interesse.</w:t>
      </w:r>
    </w:p>
    <w:p>
      <w:pPr>
        <w:pStyle w:val="Mini"/>
        <w:spacing w:after="30"/>
      </w:pPr>
      <w:hyperlink r:id="rId21">
        <w:r>
          <w:rPr>
            <w:color w:val="25517A"/>
            <w:u w:val="single"/>
            <w:sz w:val="16"/>
          </w:rPr>
          <w:t>https://mapping.emergency.copernicus.eu/about/rapid-mapping-manual/product-overview/</w:t>
        </w:r>
      </w:hyperlink>
    </w:p>
    <w:p>
      <w:pPr>
        <w:pStyle w:val="Source"/>
        <w:spacing w:after="30"/>
      </w:pPr>
      <w:r>
        <w:t>[R12]  Copernicus Emergency Management Service. Risk and Recovery Mapping: supporto alla prevenzione, preparazione e ricostruzione.</w:t>
      </w:r>
    </w:p>
    <w:p>
      <w:pPr>
        <w:pStyle w:val="Mini"/>
        <w:spacing w:after="30"/>
      </w:pPr>
      <w:hyperlink r:id="rId22">
        <w:r>
          <w:rPr>
            <w:color w:val="25517A"/>
            <w:u w:val="single"/>
            <w:sz w:val="16"/>
          </w:rPr>
          <w:t>https://mapping.emergency.copernicus.eu/about/risk-and-recovery-manual/service-overview/</w:t>
        </w:r>
      </w:hyperlink>
    </w:p>
    <w:p>
      <w:pPr>
        <w:pStyle w:val="Source"/>
        <w:spacing w:after="30"/>
      </w:pPr>
      <w:r>
        <w:t>[R13]  UNOOSA–UN-SPIDER. What is UN-SPIDER? Missione ONU per l’accesso alle informazioni spaziali lungo il ciclo dei disastri.</w:t>
      </w:r>
    </w:p>
    <w:p>
      <w:pPr>
        <w:pStyle w:val="Mini"/>
        <w:spacing w:after="30"/>
      </w:pPr>
      <w:hyperlink r:id="rId23">
        <w:r>
          <w:rPr>
            <w:color w:val="25517A"/>
            <w:u w:val="single"/>
            <w:sz w:val="16"/>
          </w:rPr>
          <w:t>https://un-spider.org/about/what-is-un-spider</w:t>
        </w:r>
      </w:hyperlink>
    </w:p>
    <w:p>
      <w:pPr>
        <w:pStyle w:val="Source"/>
        <w:spacing w:after="30"/>
      </w:pPr>
      <w:r>
        <w:t>[R14]  ESA. Introducing Sentinel-2. Spettri e capacità di osservazione utilizzabili in agricoltura e monitoraggio ambientale.</w:t>
      </w:r>
    </w:p>
    <w:p>
      <w:pPr>
        <w:pStyle w:val="Mini"/>
        <w:spacing w:after="30"/>
      </w:pPr>
      <w:hyperlink r:id="rId24">
        <w:r>
          <w:rPr>
            <w:color w:val="25517A"/>
            <w:u w:val="single"/>
            <w:sz w:val="16"/>
          </w:rPr>
          <w:t>https://www.esa.int/Applications/Observing_the_Earth/Copernicus/Sentinel-2/Introducing_Sentinel-2</w:t>
        </w:r>
      </w:hyperlink>
    </w:p>
    <w:p>
      <w:pPr>
        <w:pStyle w:val="Source"/>
        <w:spacing w:after="30"/>
      </w:pPr>
      <w:r>
        <w:t>[R16]  Regolamento (UE) 2019/2088, Sustainable Finance Disclosure Regulation (SFDR), art. 8 e art. 9. Obblighi di trasparenza distinti dalla verifica causale di impact.</w:t>
      </w:r>
    </w:p>
    <w:p>
      <w:pPr>
        <w:pStyle w:val="Mini"/>
        <w:spacing w:after="30"/>
      </w:pPr>
      <w:hyperlink r:id="rId25">
        <w:r>
          <w:rPr>
            <w:color w:val="25517A"/>
            <w:u w:val="single"/>
            <w:sz w:val="16"/>
          </w:rPr>
          <w:t>https://eur-lex.europa.eu/eli/reg/2019/2088/oj/eng</w:t>
        </w:r>
      </w:hyperlink>
    </w:p>
    <w:p>
      <w:pPr>
        <w:pStyle w:val="Source"/>
        <w:spacing w:after="30"/>
      </w:pPr>
      <w:r>
        <w:t>[R17]  ESMA (2024). Guidelines on funds’ names using ESG or sustainability-related terms. Condizioni di applicazione dei termini impact, ESG, sustainability e transition.</w:t>
      </w:r>
    </w:p>
    <w:p>
      <w:pPr>
        <w:pStyle w:val="Mini"/>
        <w:spacing w:after="30"/>
      </w:pPr>
      <w:hyperlink r:id="rId26">
        <w:r>
          <w:rPr>
            <w:color w:val="25517A"/>
            <w:u w:val="single"/>
            <w:sz w:val="16"/>
          </w:rPr>
          <w:t>https://www.esma.europa.eu/sites/default/files/2024-08/ESMA34-1592494965-657_Guidelines_on_funds_names_using_ESG_or_sustainability_related_terms.pdf</w:t>
        </w:r>
      </w:hyperlink>
    </w:p>
    <w:p>
      <w:pPr>
        <w:pStyle w:val="Source"/>
        <w:spacing w:after="30"/>
      </w:pPr>
      <w:r>
        <w:t>[R15]  Alessandro Sannini, Dossier BROMO. Modello editoriale di sintesi, perimetro, catena causale, accountability e fonti.</w:t>
      </w:r>
    </w:p>
    <w:p>
      <w:pPr>
        <w:pStyle w:val="Mini"/>
        <w:spacing w:after="30"/>
      </w:pPr>
      <w:hyperlink r:id="rId27">
        <w:r>
          <w:rPr>
            <w:color w:val="25517A"/>
            <w:u w:val="single"/>
            <w:sz w:val="16"/>
          </w:rPr>
          <w:t>https://alessandrosannini.net/bromo-airbus-leonardo-thales/</w:t>
        </w:r>
      </w:hyperlink>
    </w:p>
    <w:p>
      <w:pPr>
        <w:pStyle w:val="Heading2"/>
        <w:keepNext/>
      </w:pPr>
      <w:r>
        <w:t>Nota sulla natura dei dati e sulle simulazioni</w:t>
      </w:r>
    </w:p>
    <w:p>
      <w:pPr>
        <w:spacing w:after="96"/>
      </w:pPr>
      <w:r>
        <w:t>Le cifre di grant erogati, i numeri dei contributi accademici e le grandezze riportate da World Bank–ESA derivano dalle fonti indicate. Gli esempi relativi a grant, garanzie, acquisizioni e contabilità del valore, quando sviluppati come scenari, non sono riferiti a operazioni reali e non rappresentano previsioni, offerte o raccomandazioni d’investimento. Il dossier non certifica risultati causali che le fonti originali non misurano.</w:t>
      </w:r>
    </w:p>
    <w:p>
      <w:pPr>
        <w:pStyle w:val="Heading2"/>
        <w:keepNext/>
      </w:pPr>
      <w:r>
        <w:t>Scheda editoriale per il sito</w:t>
      </w:r>
    </w:p>
    <w:p>
      <w:pPr>
        <w:spacing w:after="96"/>
      </w:pPr>
      <w:r>
        <w:t>Titolo SEO: Venture Impact &amp; Philanthropy: quando il capitale genera davvero impatto | Dossier Space Economy</w:t>
      </w:r>
    </w:p>
    <w:p>
      <w:pPr>
        <w:spacing w:after="96"/>
      </w:pPr>
      <w:r>
        <w:t>Meta description: Dossier di Alessandro Sannini su addizionalità, grant catalitici, blended finance, private equity, governance e Space Economy. Dati, rischi, catene causali e fonti.</w:t>
      </w:r>
    </w:p>
    <w:p>
      <w:pPr>
        <w:spacing w:after="96"/>
      </w:pPr>
      <w:r>
        <w:t>Struttura di pubblicazione: una hub con sintesi, indice delle dieci macro-aree, capitoli indipendenti, glossario e fonti; la navigazione deve replicare il criterio di consultazione del dossier BROMO.</w:t>
      </w:r>
    </w:p>
    <w:sectPr w:rsidR="00FC693F" w:rsidRPr="0006063C" w:rsidSect="00034616">
      <w:headerReference w:type="default" r:id="rId9"/>
      <w:footerReference w:type="default" r:id="rId10"/>
      <w:pgSz w:w="11906" w:h="16838"/>
      <w:pgMar w:top="1219" w:right="1389" w:bottom="1049" w:left="1389" w:header="454"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3707F"/>
        <w:sz w:val="15"/>
      </w:rPr>
      <w:t xml:space="preserve">VENTURE IMPACT &amp; PHILANTHROPY   •   16 OCT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5517A"/>
        <w:sz w:val="16"/>
      </w:rPr>
      <w:t>ALESSANDROSANNINI.NET   /   DOSSIERS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6" w:line="286" w:lineRule="auto"/>
    </w:pPr>
    <w:rPr>
      <w:rFonts w:ascii="Aptos" w:hAnsi="Aptos"/>
      <w:color w:val="28313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20" w:after="180"/>
      <w:outlineLvl w:val="0"/>
    </w:pPr>
    <w:rPr>
      <w:rFonts w:asciiTheme="majorHAnsi" w:eastAsiaTheme="majorEastAsia" w:hAnsiTheme="majorHAnsi" w:cstheme="majorBidi" w:ascii="Aptos Display" w:hAnsi="Aptos Display"/>
      <w:b/>
      <w:bCs/>
      <w:color w:val="172A45"/>
      <w:sz w:val="29"/>
      <w:szCs w:val="28"/>
    </w:rPr>
  </w:style>
  <w:style w:type="paragraph" w:styleId="Heading2">
    <w:name w:val="heading 2"/>
    <w:basedOn w:val="Normal"/>
    <w:next w:val="Normal"/>
    <w:link w:val="Heading2Char"/>
    <w:uiPriority w:val="9"/>
    <w:unhideWhenUsed/>
    <w:qFormat/>
    <w:rsid w:val="00FC693F"/>
    <w:pPr>
      <w:keepNext/>
      <w:keepLines/>
      <w:spacing w:before="300" w:after="100"/>
      <w:outlineLvl w:val="1"/>
    </w:pPr>
    <w:rPr>
      <w:rFonts w:asciiTheme="majorHAnsi" w:eastAsiaTheme="majorEastAsia" w:hAnsiTheme="majorHAnsi" w:cstheme="majorBidi" w:ascii="Aptos" w:hAnsi="Aptos"/>
      <w:b/>
      <w:bCs/>
      <w:color w:val="25517A"/>
      <w:sz w:val="23"/>
      <w:szCs w:val="26"/>
    </w:rPr>
  </w:style>
  <w:style w:type="paragraph" w:styleId="Heading3">
    <w:name w:val="heading 3"/>
    <w:basedOn w:val="Normal"/>
    <w:next w:val="Normal"/>
    <w:link w:val="Heading3Char"/>
    <w:uiPriority w:val="9"/>
    <w:unhideWhenUsed/>
    <w:qFormat/>
    <w:rsid w:val="00FC693F"/>
    <w:pPr>
      <w:keepNext/>
      <w:keepLines/>
      <w:spacing w:before="240" w:after="80"/>
      <w:outlineLvl w:val="2"/>
    </w:pPr>
    <w:rPr>
      <w:rFonts w:asciiTheme="majorHAnsi" w:eastAsiaTheme="majorEastAsia" w:hAnsiTheme="majorHAnsi" w:cstheme="majorBidi" w:ascii="Aptos" w:hAnsi="Aptos"/>
      <w:b/>
      <w:bCs/>
      <w:color w:val="25517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2A4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spacing w:after="140" w:line="278" w:lineRule="auto"/>
    </w:pPr>
    <w:rPr>
      <w:rFonts w:ascii="Aptos" w:hAnsi="Aptos"/>
      <w:b/>
      <w:color w:val="25517A"/>
      <w:sz w:val="18"/>
    </w:rPr>
  </w:style>
  <w:style w:type="paragraph" w:customStyle="1" w:styleId="Deck">
    <w:name w:val="Deck"/>
    <w:pPr>
      <w:spacing w:after="140" w:line="278" w:lineRule="auto"/>
    </w:pPr>
    <w:rPr>
      <w:rFonts w:ascii="Aptos" w:hAnsi="Aptos"/>
      <w:i/>
      <w:color w:val="28313A"/>
      <w:sz w:val="26"/>
    </w:rPr>
  </w:style>
  <w:style w:type="paragraph" w:customStyle="1" w:styleId="Pull">
    <w:name w:val="Pull"/>
    <w:pPr>
      <w:spacing w:after="140" w:line="278" w:lineRule="auto"/>
    </w:pPr>
    <w:rPr>
      <w:rFonts w:ascii="Aptos" w:hAnsi="Aptos"/>
      <w:b/>
      <w:color w:val="172A45"/>
      <w:sz w:val="22"/>
    </w:rPr>
  </w:style>
  <w:style w:type="paragraph" w:customStyle="1" w:styleId="Source">
    <w:name w:val="Source"/>
    <w:pPr>
      <w:spacing w:after="80" w:line="278" w:lineRule="auto"/>
    </w:pPr>
    <w:rPr>
      <w:rFonts w:ascii="Aptos" w:hAnsi="Aptos"/>
      <w:color w:val="28313A"/>
      <w:sz w:val="18"/>
    </w:rPr>
  </w:style>
  <w:style w:type="paragraph" w:customStyle="1" w:styleId="Mini">
    <w:name w:val="Mini"/>
    <w:pPr>
      <w:spacing w:after="140" w:line="278" w:lineRule="auto"/>
    </w:pPr>
    <w:rPr>
      <w:rFonts w:ascii="Aptos" w:hAnsi="Aptos"/>
      <w:color w:val="63707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07/s11301-026-00640-x" TargetMode="External"/><Relationship Id="rId12" Type="http://schemas.openxmlformats.org/officeDocument/2006/relationships/hyperlink" Target="https://doi.org/10.1002/bse.71473" TargetMode="External"/><Relationship Id="rId13" Type="http://schemas.openxmlformats.org/officeDocument/2006/relationships/hyperlink" Target="https://www.impacteurope.net/insights/catalytic-grantmaking-survey" TargetMode="External"/><Relationship Id="rId14" Type="http://schemas.openxmlformats.org/officeDocument/2006/relationships/hyperlink" Target="https://www.weforum.org/publications/the-catalysts-unlocking-markets-for-a-sustainable-economy/" TargetMode="External"/><Relationship Id="rId15" Type="http://schemas.openxmlformats.org/officeDocument/2006/relationships/hyperlink" Target="https://impactfrontiers.org/norms/five-dimensions-of-impact/" TargetMode="External"/><Relationship Id="rId16" Type="http://schemas.openxmlformats.org/officeDocument/2006/relationships/hyperlink" Target="https://impactfrontiers.org/norms/investor-contribution/" TargetMode="External"/><Relationship Id="rId17" Type="http://schemas.openxmlformats.org/officeDocument/2006/relationships/hyperlink" Target="https://www.impactprinciples.org/9-principleS" TargetMode="External"/><Relationship Id="rId18" Type="http://schemas.openxmlformats.org/officeDocument/2006/relationships/hyperlink" Target="https://www.oecd.org/en/publications/oecd-dac-blended-finance-guidance-2025_e4a13d2c-en/full-report/principle-2-design-blended-finance-to-increase-the-mobilisation-of-commercial-finance_996e5e2d.html" TargetMode="External"/><Relationship Id="rId19" Type="http://schemas.openxmlformats.org/officeDocument/2006/relationships/hyperlink" Target="https://www.euspa.europa.eu/eu-space-programme/eu-space-market-and-users/gnss-and-eo-market-report" TargetMode="External"/><Relationship Id="rId20" Type="http://schemas.openxmlformats.org/officeDocument/2006/relationships/hyperlink" Target="https://blogs.worldbank.org/en/opendata/from-satellite-data-to-development-finance--how-earth-observatio" TargetMode="External"/><Relationship Id="rId21" Type="http://schemas.openxmlformats.org/officeDocument/2006/relationships/hyperlink" Target="https://mapping.emergency.copernicus.eu/about/rapid-mapping-manual/product-overview/" TargetMode="External"/><Relationship Id="rId22" Type="http://schemas.openxmlformats.org/officeDocument/2006/relationships/hyperlink" Target="https://mapping.emergency.copernicus.eu/about/risk-and-recovery-manual/service-overview/" TargetMode="External"/><Relationship Id="rId23" Type="http://schemas.openxmlformats.org/officeDocument/2006/relationships/hyperlink" Target="https://un-spider.org/about/what-is-un-spider" TargetMode="External"/><Relationship Id="rId24" Type="http://schemas.openxmlformats.org/officeDocument/2006/relationships/hyperlink" Target="https://www.esa.int/Applications/Observing_the_Earth/Copernicus/Sentinel-2/Introducing_Sentinel-2" TargetMode="External"/><Relationship Id="rId25" Type="http://schemas.openxmlformats.org/officeDocument/2006/relationships/hyperlink" Target="https://eur-lex.europa.eu/eli/reg/2019/2088/oj/eng" TargetMode="External"/><Relationship Id="rId26" Type="http://schemas.openxmlformats.org/officeDocument/2006/relationships/hyperlink" Target="https://www.esma.europa.eu/sites/default/files/2024-08/ESMA34-1592494965-657_Guidelines_on_funds_names_using_ESG_or_sustainability_related_terms.pdf" TargetMode="External"/><Relationship Id="rId27" Type="http://schemas.openxmlformats.org/officeDocument/2006/relationships/hyperlink" Target="https://alessandrosannini.net/bromo-airbus-leonardo-th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Venture Impact &amp; Philanthropy | Dossier indipendente</dc:title>
  <dc:subject>Impact investing, venture philanthropy, Space Economy</dc:subject>
  <dc:creator>Alessandro Sannini</dc:creator>
  <cp:keywords/>
  <dc:description>generated by python-docx</dc:description>
  <cp:lastModifiedBy/>
  <cp:revision>1</cp:revision>
  <dcterms:created xsi:type="dcterms:W3CDTF">2013-12-23T23:15:00Z</dcterms:created>
  <dcterms:modified xsi:type="dcterms:W3CDTF">2013-12-23T23:15:00Z</dcterms:modified>
  <cp:category/>
</cp:coreProperties>
</file>